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lef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48"/>
              </w:rPr>
              <w:t>Распоряжение Губернатора Омской области от 24.09.2021 N 117-р</w:t>
              <w:br/>
              <w:t>(ред. от 23.04.2024)</w:t>
              <w:br/>
              <w:t>"Об утверждении Комплексного плана мероприятий Омской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годы"</w:t>
              <w:br/>
              <w:t>(с изм. и доп., вступающими в силу с 05.06.2024)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05.06.2024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left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/>
        <w:t>ГУБЕРНАТОР ОМСКОЙ ОБЛАСТИ</w:t>
      </w:r>
    </w:p>
    <w:p>
      <w:pPr>
        <w:pStyle w:val="ConsPlusTitle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РАСПОРЯЖЕНИЕ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от 24 сентября 2021 г. N 117-р</w:t>
      </w:r>
    </w:p>
    <w:p>
      <w:pPr>
        <w:pStyle w:val="ConsPlusTitle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ОБ УТВЕРЖДЕНИИ КОМПЛЕКСНОГО ПЛАНА МЕРОПРИЯТИЙ ОМСКОЙ ОБЛАСТИ</w:t>
      </w:r>
    </w:p>
    <w:p>
      <w:pPr>
        <w:pStyle w:val="ConsPlusTitle"/>
        <w:bidi w:val="0"/>
        <w:ind w:left="0" w:hanging="0"/>
        <w:jc w:val="center"/>
        <w:rPr/>
      </w:pPr>
      <w:r>
        <w:rPr/>
        <w:t>ПО ОБЕСПЕЧЕНИЮ ПОЭТАПНОГО ДОСТУПА НЕГОСУДАРСТВЕННЫХ</w:t>
      </w:r>
    </w:p>
    <w:p>
      <w:pPr>
        <w:pStyle w:val="ConsPlusTitle"/>
        <w:bidi w:val="0"/>
        <w:ind w:left="0" w:hanging="0"/>
        <w:jc w:val="center"/>
        <w:rPr/>
      </w:pPr>
      <w:r>
        <w:rPr/>
        <w:t>ОРГАНИЗАЦИЙ, ОСУЩЕСТВЛЯЮЩИХ ДЕЯТЕЛЬНОСТЬ В СОЦИАЛЬНОЙ СФЕРЕ,</w:t>
      </w:r>
    </w:p>
    <w:p>
      <w:pPr>
        <w:pStyle w:val="ConsPlusTitle"/>
        <w:bidi w:val="0"/>
        <w:ind w:left="0" w:hanging="0"/>
        <w:jc w:val="center"/>
        <w:rPr/>
      </w:pPr>
      <w:r>
        <w:rPr/>
        <w:t>К БЮДЖЕТНЫМ СРЕДСТВАМ, ВЫДЕЛЯЕМЫМ НА ПРЕДОСТАВЛЕНИЕ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СОЦИАЛЬНЫХ УСЛУГ НАСЕЛЕНИЮ, НА 2021 - 2024 ГОДЫ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Омской области от 15.03.2024 </w:t>
            </w:r>
            <w:hyperlink r:id="rId5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23.04.2024 </w:t>
            </w:r>
            <w:hyperlink r:id="rId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целях реализации </w:t>
      </w:r>
      <w:hyperlink r:id="rId7">
        <w:r>
          <w:rPr>
            <w:color w:val="0000FF"/>
          </w:rPr>
          <w:t>пункта 63</w:t>
        </w:r>
      </w:hyperlink>
      <w:r>
        <w:rPr/>
        <w:t xml:space="preserve"> Комплекса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от 11 декабря 2020 года N 11826п-П44, утвержденного Заместителем Председателя Правительства Российской Федерации Т.А. Голиковой: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1. Утвердить прилагаемый Комплексный </w:t>
      </w:r>
      <w:hyperlink w:anchor="Par34" w:tgtFrame="КОМПЛЕКСНЫЙ ПЛАН">
        <w:r>
          <w:rPr>
            <w:color w:val="0000FF"/>
          </w:rPr>
          <w:t>план</w:t>
        </w:r>
      </w:hyperlink>
      <w:r>
        <w:rPr/>
        <w:t xml:space="preserve"> мероприятий Омской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(далее - План).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2. Органам исполнительной власти Омской области, являющимся ответственными за подготовку информации о выполнении мероприятий Плана, направлять в Министерство труда и социального развития Омской области (далее - Минтруд) один раз в полугодие (за 6, 12 месяцев), не позднее 20 числа месяца, следующего за отчетным периодом, информацию о его исполнении.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3. Рекомендовать органам местного самоуправления Омской области, Общественной палате Омской области, Омской региональной общественной организации "Центр инноваций социальной сферы", Омской региональной общественной организации "Центр развития общественных инициатив" принять участие в реализации Плана и направлять в Минтруд один раз в полугодие (за 6, 12 месяцев), не позднее 20 числа месяца, следующего за отчетным периодом, информацию о его исполнении.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4. Минтруду обеспечить подготовку сводной информации о выполнении Плана и обеспечить ее рассмотрение на заседании Координационного совета по обеспечению доступа негосударственных организаций к предоставлению социальных услуг в Омской области.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5. Контроль за исполнением настоящего распоряжения возложить на первого заместителя Председателя Правительства Омской области Р.Р. Мингазова.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rPr/>
        <w:t xml:space="preserve"> Губернатора Омской области от 23.04.2024 N 78)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Губернатор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А.Л.Бурков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left="0" w:hanging="0"/>
        <w:jc w:val="right"/>
        <w:rPr/>
      </w:pPr>
      <w:r>
        <w:rPr/>
        <w:t>к распоряжению Губернатора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24 сентября 2021 г. N 117-р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bookmarkStart w:id="0" w:name="Par34"/>
      <w:bookmarkEnd w:id="0"/>
      <w:r>
        <w:rPr/>
        <w:t>КОМПЛЕКСНЫЙ ПЛАН</w:t>
      </w:r>
    </w:p>
    <w:p>
      <w:pPr>
        <w:pStyle w:val="ConsPlusTitle"/>
        <w:bidi w:val="0"/>
        <w:ind w:left="0" w:hanging="0"/>
        <w:jc w:val="center"/>
        <w:rPr/>
      </w:pPr>
      <w:r>
        <w:rPr/>
        <w:t>мероприятий Омской области по обеспечению поэтапного доступа</w:t>
      </w:r>
    </w:p>
    <w:p>
      <w:pPr>
        <w:pStyle w:val="ConsPlusTitle"/>
        <w:bidi w:val="0"/>
        <w:ind w:left="0" w:hanging="0"/>
        <w:jc w:val="center"/>
        <w:rPr/>
      </w:pPr>
      <w:r>
        <w:rPr/>
        <w:t>негосударственных организаций, осуществляющих деятельность</w:t>
      </w:r>
    </w:p>
    <w:p>
      <w:pPr>
        <w:pStyle w:val="ConsPlusTitle"/>
        <w:bidi w:val="0"/>
        <w:ind w:left="0" w:hanging="0"/>
        <w:jc w:val="center"/>
        <w:rPr/>
      </w:pPr>
      <w:r>
        <w:rPr/>
        <w:t>в социальной сфере (далее - негосударственные организации),</w:t>
      </w:r>
    </w:p>
    <w:p>
      <w:pPr>
        <w:pStyle w:val="ConsPlusTitle"/>
        <w:bidi w:val="0"/>
        <w:ind w:left="0" w:hanging="0"/>
        <w:jc w:val="center"/>
        <w:rPr/>
      </w:pPr>
      <w:r>
        <w:rPr/>
        <w:t>к бюджетным средствам, выделяемым на предоставление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социальных услуг населению, на 2021 - 2024 годы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Омской области от 15.03.2024 </w:t>
            </w:r>
            <w:hyperlink r:id="rId9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23.04.2024 </w:t>
            </w:r>
            <w:hyperlink r:id="rId1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1352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9"/>
        <w:gridCol w:w="3118"/>
        <w:gridCol w:w="1928"/>
        <w:gridCol w:w="3970"/>
        <w:gridCol w:w="4025"/>
      </w:tblGrid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Срок реализации 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Ожидаемые результаты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Ответственные за подготовку информации о выполнении мероприятия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1"/>
              <w:rPr/>
            </w:pPr>
            <w:r>
              <w:rPr/>
              <w:t>I. Совершенствование нормативного правового регулирования и правоприменительной практики в целях обеспечения доступа негосударственных организаций к предоставлению услуг в социальной сфере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Проведение анализа нормативных правовых актов Омской области и правоприменительной практики на предмет устранения барьеров для участия негосударственных организаций в предоставлении услуг в социальной сфере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Ежегодно, III квартал (начиная с 2022 года)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 xml:space="preserve">Расширение возможностей для потребителей выбора поставщика услуг в социальной сфере, а также их вариативности. Отсутствие барьеров к доступу негосударственных организаций к бюджетному финансированию оказания услуг в социальной сфере (с рассмотрением информации на заседании Координационного совета по обеспечению доступа негосударственных организаций к оказанию социальных услуг в Омской области, созданного </w:t>
            </w:r>
            <w:hyperlink r:id="rId11">
              <w:r>
                <w:rPr>
                  <w:color w:val="0000FF"/>
                </w:rPr>
                <w:t>Указом</w:t>
              </w:r>
            </w:hyperlink>
            <w:r>
              <w:rPr/>
              <w:t xml:space="preserve"> Губернатора Омской области от 5 сентября 2016 года N 156 (далее - Координационный совет))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Министерство труда и социального развития Омской области (далее - Минтруд), Министерство здравоохранения Омской области (далее - Минздрав), Министерство образования Омской области (далее - Минобразования), Министерство культуры Омской области (далее - Минкультуры), Министерство спорта Омской области (далее - Минспорт), Главное управление молодежной политики Омской области (далее - ГМП), Министерство экономического развития Омской области (далее - Минэкономразвития), Общественная палата Омской области (далее - ОПОО) (по согласованию)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Указов Губернатора Омской области от 15.03.2024 </w:t>
            </w:r>
            <w:hyperlink r:id="rId12">
              <w:r>
                <w:rPr>
                  <w:color w:val="0000FF"/>
                </w:rPr>
                <w:t>N 48</w:t>
              </w:r>
            </w:hyperlink>
            <w:r>
              <w:rPr/>
              <w:t xml:space="preserve">, от 23.04.2024 </w:t>
            </w:r>
            <w:hyperlink r:id="rId13">
              <w:r>
                <w:rPr>
                  <w:color w:val="0000FF"/>
                </w:rPr>
                <w:t>N 78</w:t>
              </w:r>
            </w:hyperlink>
            <w:r>
              <w:rPr/>
              <w:t>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Внесение изменений в нормативные правовые акты Омской области: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внесение изменений в нормативные правовые акты Омской области, регламентирующие оказание поддержки негосударственным организациям, в целях приведения их в соответствие с федеральным законодательством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При необходимости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Нормативные правовые акты Омской области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Минтруд, Минздрав, Минобразования, Минкультуры, Минспорт, ГМП, Минэкономразвития, Министерство внутренней политики Омской области (далее - МВП)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Указов Губернатора Омской области от 15.03.2024 </w:t>
            </w:r>
            <w:hyperlink r:id="rId14">
              <w:r>
                <w:rPr>
                  <w:color w:val="0000FF"/>
                </w:rPr>
                <w:t>N 48</w:t>
              </w:r>
            </w:hyperlink>
            <w:r>
              <w:rPr/>
              <w:t xml:space="preserve">, от 23.04.2024 </w:t>
            </w:r>
            <w:hyperlink r:id="rId15">
              <w:r>
                <w:rPr>
                  <w:color w:val="0000FF"/>
                </w:rPr>
                <w:t>N 78</w:t>
              </w:r>
            </w:hyperlink>
            <w:r>
              <w:rPr/>
              <w:t>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внесение изменений в нормативные правовые акты Омской области в целях устранения барьеров, выявленных в ходе проведения анализа нормативных правовых актов Омской области и правоприменительной практики на предмет устранения барьеров для участия негосударственных организаций в предоставлении услуг в социальной сфере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При необходимости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Отсутствие барьеров к доступу негосударственных организаций к бюджетному финансированию оказания услуг в социальной сфере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Минтруд, Минздрав, Минобразования, Минкультуры, Минспорт, ГМП, Минэкономразвития, МВП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Указов Губернатора Омской области от 15.03.2024 </w:t>
            </w:r>
            <w:hyperlink r:id="rId16">
              <w:r>
                <w:rPr>
                  <w:color w:val="0000FF"/>
                </w:rPr>
                <w:t>N 48</w:t>
              </w:r>
            </w:hyperlink>
            <w:r>
              <w:rPr/>
              <w:t xml:space="preserve">, от 23.04.2024 </w:t>
            </w:r>
            <w:hyperlink r:id="rId17">
              <w:r>
                <w:rPr>
                  <w:color w:val="0000FF"/>
                </w:rPr>
                <w:t>N 78</w:t>
              </w:r>
            </w:hyperlink>
            <w:r>
              <w:rPr/>
              <w:t>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внесение изменений в государственные программы Омской области, предусматривающие включение мероприятий и целевых показателей по обеспечению доступа негосударственных организаций к бюджетному финансированию оказания услуг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При необходимости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Повышение эффективности использования бюджетных средств, выделяемых на предоставление гражданам услуг в социальной сфере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Минтруд, МВП, Минздрав, Минобразования, Минкультуры, Минспорт, ГМП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18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 xml:space="preserve">Рассмотрение вопроса включения Омской области в </w:t>
            </w:r>
            <w:hyperlink r:id="rId19">
              <w:r>
                <w:rPr>
                  <w:color w:val="0000FF"/>
                </w:rPr>
                <w:t>перечень</w:t>
              </w:r>
            </w:hyperlink>
            <w:r>
              <w:rPr/>
              <w:t xml:space="preserve"> субъектов Российской Федерации, утвержденный распоряжением Правительства Российской Федерации от 7 октября 2020 года N 2579-р, в которых вступает в силу Федеральный </w:t>
            </w:r>
            <w:hyperlink r:id="rId20">
              <w:r>
                <w:rPr>
                  <w:color w:val="0000FF"/>
                </w:rPr>
                <w:t>закон</w:t>
              </w:r>
            </w:hyperlink>
            <w:r>
              <w:rPr/>
      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2022 год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Рассмотрение вопроса на заседании Координационного совета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Минтруд, Минздрав, Минкультуры, Министерство по делам молодежи, физической культуры и спорта Омской области, Минфин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1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1"/>
              <w:rPr/>
            </w:pPr>
            <w:r>
              <w:rPr/>
              <w:t>II. Развитие инфраструктуры поддержки негосударственных организаций к предоставлению услуг в социальной сфере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Разработка информационных материалов по оказанию имущественной поддержки негосударственных организаций, в том числе предоставлению во временное пользование помещений, мест для хранения технических средств, оборудования, транспорта на безвозмездной основе или льготных условиях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год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Формирование информационных материалов с целью последующего доведения их до сведения негосударственных организаций; ознакомление негосударственных организаций с мерами имущественной поддержки, оказываемыми Правительством Омской области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Министерство имущественных отношений Омской области (далее - Минимущество)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Размещение в печатных и электронных средствах массовой информации материалов по развитию инфраструктуры поддержки социально ориентированных некоммерческих организаций (за исключением государственных (муниципальных) учреждений) (далее - СОНКО) в Омской области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Рост количества сюжетов и публикаций в средствах массовой информации (далее - СМИ)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МВП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2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Проведение информационной кампании по поддержке деятельности негосударственных организаций в оказании ими услуг в социальной сфере, благотворительности и добровольчестве (волонтерстве)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Рост количества сюжетов и публикаций в СМИ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МВП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3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Развитие инфраструктуры поддержки СОНКО, в том числе развитие и поддержка деятельности ресурсных центров поддержки СОНКО (далее - ресурсные центры), в том числе в муниципальных образованиях Омской области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Содействие развитию некоммерческого сектора экономики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Минтруд, МВП, Омская региональная общественная организация "Центр развития общественных инициатив" (далее - ЦРОИ) (по согласованию), Омская региональная общественная организация "Центр инноваций социальной сферы" (далее - ЦИСС) (по согласованию), ОПОО (по согласованию)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4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Оказание методической, информационно-консультационной поддержки СОНКО как участникам конкурсных отборов для предоставления субсидий, проводимых органами исполнительной власти Омской области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Повышение уровня компетентности СОНКО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Минтруд, МВП, Минобразования, Минспорт, ГМП, Минкультуры, Минздрав, Минэкономразвития, ЦРОИ, ЦИСС, ОПОО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Указов Губернатора Омской области от 15.03.2024 </w:t>
            </w:r>
            <w:hyperlink r:id="rId25">
              <w:r>
                <w:rPr>
                  <w:color w:val="0000FF"/>
                </w:rPr>
                <w:t>N 48</w:t>
              </w:r>
            </w:hyperlink>
            <w:r>
              <w:rPr/>
              <w:t xml:space="preserve">, от 23.04.2024 </w:t>
            </w:r>
            <w:hyperlink r:id="rId26">
              <w:r>
                <w:rPr>
                  <w:color w:val="0000FF"/>
                </w:rPr>
                <w:t>N 78</w:t>
              </w:r>
            </w:hyperlink>
            <w:r>
              <w:rPr/>
              <w:t>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Взаимодействие с СОНКО по вопросам участия СОНКО в федеральных, межрегиональных конкурсных отборах для предоставления финансовой поддержки, проводимых органами власти и негосударственными организациями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Увеличение числа СОНКО, принявших участие в указанных конкурсных отборах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Минтруд, МВП, Минобразования, Минспорт, ГМП, Минкультуры, Минздрав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7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1"/>
              <w:rPr/>
            </w:pPr>
            <w:r>
              <w:rPr/>
              <w:t>III. Отраслевые меры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2"/>
              <w:rPr/>
            </w:pPr>
            <w:r>
              <w:rPr/>
              <w:t>Социальная защита и социальное обслуживание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Организация предоставления гражданам социальных услуг с привлечением негосударственных и волонтерских организаций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Привлечение негосударственных и волонтерских организаций к оказанию социальных услуг гражданам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Консультационное сопровождение негосударственных организаций при вхождении в реестр поставщиков социальных услуг Омской области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Обеспечение увеличения количества негосударственных поставщиков социальных услуг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Организация обучения работников поставщиков социальных услуг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Развитие профессиональных компетенций работников поставщиков социальных услуг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субсидий поставщикам социальных услуг, которые включены в реестр поставщиков социальных услуг Омской области, но не участвуют в выполнении государственного задания (заказа), в целях компенсации при получении у них гражданином социальных услуг, предусмотренных индивидуальной программой предоставления социальных услуг (далее - индивидуальная программа)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Возмещение поставщикам социальных услуг затрат, связанных с предоставлением гражданину, признанному нуждающимся в социальном обслуживании, социальных услуг, предусмотренных индивидуальной программой, на условиях частичной оплаты или бесплатно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субсидий юридическим лицам (за исключением государственных (муниципальных) учреждений) и индивидуальным предпринимателям на финансовое обеспечение (возмещение) затрат в сфере социальной политики, связанных с безвозмездным оказанием реабилитационных услуг инвалидам, включая детей-инвалидов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Финансовое обеспечение (возмещение) затрат в сфере социальной политики, связанных с безвозмездным оказанием реабилитационных услуг инвалидам, включая детей-инвалидов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субсидий из областного бюджета СОНКО, осуществляющим деятельность на территории Омской области, на реализацию социально значимых проектов (программ)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Создание условий для эффективного участия СОНКО в социально-экономическом развитии Омской области путем финансового обеспечения деятельности некоммерческих организаций, связанного с реализацией социально значимых проектов (программ)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субсидий местным бюджетам из областного бюджета на оказание финансовой поддержки СОНКО (при наличии финансирования)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Создание условий для развития СОНКО на местном уровне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2"/>
              <w:rPr/>
            </w:pPr>
            <w:r>
              <w:rPr/>
              <w:t>Образование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субсидий негосударственным организациям, осуществляющим деятельность в сфере образования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Создание условий для участия негосударственных организаций в оказании услуг сферы образования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Минобразования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Реализация мероприятий по содействию развитию кадрового потенциала СОНКО в области подготовки, профессиональной переподготовки и повышения квалификации работников образования, в том числе руководителей образовательных организаций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Прохождение подготовки, профессиональной переподготовки и повышения квалификации работников, в том числе руководителей образовательных организаций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Минобразования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Расширение методической, консультационной и информационной поддержки СОНКО в сфере образования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Функционирование "горячих линий" поддержки деятельности СОНКО в сфере образования, сайтов в сети Интернет с обновляемой информацией для руководителей СОНКО, оперативное направление в СОНКО методических рекомендаций, инструктивных писем по вопросам организации деятельности образовательных организаций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Минобразования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Подготовка информации о практике Омской области в части дополнительного образования детей, в том числе силами негосударственных организаций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Ежегодно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Выявление лучших практик предоставления указанных услуг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Минобразования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2"/>
              <w:rPr/>
            </w:pPr>
            <w:r>
              <w:rPr/>
              <w:t>Охрана здоровья граждан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субсидий негосударственным организациям, осуществляющим деятельность в сфере охраны здоровья граждан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Создание условий для участия негосударственных организаций в оказании услуг в сфере охраны здоровья граждан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Минздрав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Проведение консультаций для негосударственных организаций по вопросам участия в оказании услуг в сфере охраны здоровья граждан (по мере обращения)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Создание условий для участия негосударственных организаций в оказании услуг в сфере охраны здоровья граждан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Минздрав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Проведение анализа регионального рынка предоставления услуг в сфере здравоохранения, подготовка в рамках компетенции информации о возможности передачи на исполнение СОНКО услуг в сфере здравоохранения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Ежегодно, IV квартал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Расширение возможностей для потребителей выбора поставщика услуг в социальной сфере, а также их вариативности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Минздрав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 xml:space="preserve">Привлечение СОНКО к реализации мероприятий региональной </w:t>
            </w:r>
            <w:hyperlink r:id="rId28">
              <w:r>
                <w:rPr>
                  <w:color w:val="0000FF"/>
                </w:rPr>
                <w:t>программы</w:t>
              </w:r>
            </w:hyperlink>
            <w:r>
              <w:rPr/>
              <w:t xml:space="preserve"> Омской области "Формирование системы мотивации граждан к здоровому образу жизни, включая здоровое питание и отказ от вредных привычек" на 2020 - 2024 годы, утвержденной распоряжением Правительства Омской области от 22 июля 2020 года N 142-рп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Повышение эффективности использования бюджетных средств, выделяемых на предоставление гражданам услуг в социальной сфере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Минздрав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Расширение методической, консультационной и информационной поддержки СОНКО в сфере охраны здоровья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Повышение уровня компетентности СОНКО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Минздрав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Подготовка информации о практике Омской области в части информирования граждан о факторах риска развития заболеваний и мотивирования к ведению здорового образа жизни, в том числе силами негосударственных организаций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Ежегодно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Выявление лучших практик предоставления указанных услуг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Минздрав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2"/>
              <w:rPr/>
            </w:pPr>
            <w:r>
              <w:rPr/>
              <w:t>Физическая культура, спорт, молодежная политика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субсидий негосударственным организациям, осуществляющим деятельность в сфере физической культуры, спорта, молодежной политики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Создание условий для участия негосударственных организаций в оказании услуг в сфере физической культуры, спорта, молодежной политики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Минспорт, ГМП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9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Расширение методической, консультационной и информационной поддержки СОНКО в сфере физической культуры, спорта, молодежной политики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Повышение уровня компетентности СОНКО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Минспорт, ГМП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30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Подготовка информации о практике Омской области по предоставлению услуг в сфере физической культуры и массового спорта, в том числе в удаленных и труднодоступных территориях, в том числе силами негосударственных организаций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Ежегодно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Выявление лучших практик предоставления указанных услуг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Минспорт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Подготовка информации о практике Омской области по предоставлению услуг в сфере молодежной политики, в том числе в удаленных и труднодоступных территориях, в том числе силами негосударственных организаций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Ежегодно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Выявление лучших практик предоставления указанных услуг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ГМП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31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2"/>
              <w:rPr/>
            </w:pPr>
            <w:r>
              <w:rPr/>
              <w:t>Культура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субсидий негосударственным организациям, осуществляющим деятельность в сфере культуры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Создание условий для эффективного участия СОНКО в социально-культурном развитии Омской области путем финансового обеспечения проектной деятельности некоммерческих организаций в сфере культуры и туризма, поддержка гражданских инициатив, направленных на формирование единого культурного пространства региона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Минкультуры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Расширение методической, консультационной и информационной поддержки СОНКО в сфере культуры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Повышение уровня компетентности СОНКО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Минкультуры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Подготовка информации о практиках Омской области по предоставлению услуг в сфере культуры силами негосударственных организаций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Ежегодно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Выявление лучших практик предоставления указанных услуг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Минкультуры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1"/>
              <w:rPr/>
            </w:pPr>
            <w:r>
              <w:rPr/>
              <w:t>IV. Расширение возможностей предоставления негосударственными организациями услуг в социальной сфере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Оказание поддержки юридическим лицам и индивидуальным предпринимателям, осуществляющим деятельность в социальной сфере, включая финансовую поддержку, предоставление налоговых преференций в соответствии с законодательством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Создание условий для развития негосударственных организаций, предоставляющих услуги в социальной сфере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Минэкономразвития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32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15.03.2024 N 48)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Оказание имущественной поддержки СОНКО, в том числе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Заключение договоров безвозмездного пользования или договор аренды на льготных условиях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Минимущество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1"/>
              <w:rPr/>
            </w:pPr>
            <w:r>
              <w:rPr/>
              <w:t>V. Координация деятельности органов власти по обеспечению доступа негосударственных организаций к предоставлению услуг в социальной сфере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Рассмотрение вопросов участия негосударственных организаций в оказании услуг в социальной сфере на заседаниях общественных советов при органах исполнительной власти Омской области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Увеличение доступности и качества услуг в социальной сфере, предоставляемых населению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МВП, Минтруд, Минздрав, Минобразования, Минкультуры, Минспорт, ГМП, ОПОО (по согласованию)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33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Формирование рейтинга органов местного самоуправления Омской области (далее - ОМС) по реализации механизмов поддержки СОНКО, социального предпринимательства и обеспечения доступа негосударственных организаций к предоставлению услуг в социальной сфере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Ежегодно, II квартал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Оценка мер, принимаемых на местном уровне, по реализации механизмов поддержки СОНКО, социального предпринимательства и обеспечению доступа негосударственных организаций к предоставлению услуг в социальной сфере (с рассмотрением информации на заседании Координационного совета)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Минтруд, МВП</w:t>
            </w:r>
          </w:p>
        </w:tc>
      </w:tr>
      <w:tr>
        <w:trPr/>
        <w:tc>
          <w:tcPr>
            <w:tcW w:w="13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34">
              <w:r>
                <w:rPr>
                  <w:color w:val="0000FF"/>
                </w:rPr>
                <w:t>Указа</w:t>
              </w:r>
            </w:hyperlink>
            <w:r>
              <w:rPr/>
              <w:t xml:space="preserve"> Губернатора Омской области от 23.04.2024 N 78)</w:t>
            </w:r>
          </w:p>
        </w:tc>
      </w:tr>
      <w:tr>
        <w:trPr/>
        <w:tc>
          <w:tcPr>
            <w:tcW w:w="1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center"/>
              <w:outlineLvl w:val="1"/>
              <w:rPr/>
            </w:pPr>
            <w:r>
              <w:rPr/>
              <w:t>VI. Меры по поддержке негосударственных организаций, оказываемые в муниципальных образованиях Омской области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Принятие муниципальных программ (подпрограмм) по поддержке СОНКО, содержащих мероприятия по поддержке СОНКО, по поддержке ресурсных центров, по обучению работников и добровольцев СОНКО (внесение изменений в действующие муниципальные программы (подпрограмм) по поддержке СОНКО)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ОМС мер поддержки СОНКО в рамках программы (подпрограммы) по поддержке СОНКО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 (по согласованию)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Внесение в муниципальные программы (подпрограммы) изменений, предусматривающих включение мер по поддержке социальных предпринимателей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Предоставление ОМС мер поддержки социальных предпринимателей в рамках: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- отдельной программы по поддержке (развитию) социального предпринимательства;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- муниципальной программы по поддержке (развитию) малого и среднего предпринимательства, включающей отдельные меры поддержки (развития) социального предпринимательства или подпрограмму по поддержке (развитию) социального предпринимательства;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- муниципальной программы экономического развития, включающей отдельные меры поддержки социального предпринимательства или подпрограмму по поддержке (развитию) социального предпринимательства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 (по согласованию)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Оказание имущественной поддержки СОНКО, в том числе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Заключение договоров безвозмездного пользования или договор аренды на льготных условиях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 (по согласованию)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Информационная и консультативная поддержка СОНКО, оказание содействия СОНКО в области подготовки, переподготовки и повышения квалификации дополнительного профессионального образования работников и добровольцев СОНКО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Участие СОНКО в конкурсах на предоставление субсидий из областного и федерального бюджетов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 (по согласованию)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Утверждение комплексного плана мероприятий по обеспечению поэтапного доступа негосударственных организаций к бюджетным средствам, выделяемым на предоставление социальных услуг населению, на 2021 - 2024 годы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год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Нормативные правовые акты ОМС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 (по согласованию)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Рассмотрение вопросов поддержки негосударственных организаций на заседаниях общественных советов при администрациях муниципальных районов Омской области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Обеспечение эффективного взаимодействия граждан, общественных объединений, политических партий, профсоюзов, молодежных и иных организаций с ОМС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 (по согласованию)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Актуализация состава совещательного органа (совета), созданного в целях формирования условий для расширения доступа негосударственных организаций к оказанию услуг в социальной сфере, в части включения в их состав представителей социального предпринимательства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При необходимости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Нормативные правовые акты ОМС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 (по согласованию)</w:t>
            </w:r>
          </w:p>
        </w:tc>
      </w:tr>
    </w:tbl>
    <w:p>
      <w:pPr>
        <w:sectPr>
          <w:headerReference w:type="default" r:id="rId35"/>
          <w:footerReference w:type="default" r:id="rId36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headerReference w:type="default" r:id="rId37"/>
      <w:headerReference w:type="first" r:id="rId38"/>
      <w:footerReference w:type="default" r:id="rId39"/>
      <w:footerReference w:type="first" r:id="rId40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15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15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15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15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Распоряжение Губернатора Омской области от 24.09.2021 N 117-р</w:t>
            <w:br/>
            <w:t>(ред. от 23.04.2024)</w:t>
            <w:br/>
            <w:t>"Об утверждении Комплексного плана ме...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05.06.2024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Распоряжение Губернатора Омской области от 24.09.2021 N 117-р</w:t>
            <w:br/>
            <w:t>(ред. от 23.04.2024)</w:t>
            <w:br/>
            <w:t>"Об утверждении Комплексного плана ме...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05.06.2024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93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s://login.consultant.ru/link/?req=doc&amp;base=RLAW148&amp;n=209939&amp;date=05.06.2024&amp;dst=100041&amp;field=134" TargetMode="External"/><Relationship Id="rId6" Type="http://schemas.openxmlformats.org/officeDocument/2006/relationships/hyperlink" Target="https://login.consultant.ru/link/?req=doc&amp;base=RLAW148&amp;n=211626&amp;date=05.06.2024&amp;dst=100018&amp;field=134" TargetMode="External"/><Relationship Id="rId7" Type="http://schemas.openxmlformats.org/officeDocument/2006/relationships/hyperlink" Target="https://login.consultant.ru/link/?req=doc&amp;base=LAW&amp;n=375934&amp;date=05.06.2024&amp;dst=100340&amp;field=134" TargetMode="External"/><Relationship Id="rId8" Type="http://schemas.openxmlformats.org/officeDocument/2006/relationships/hyperlink" Target="https://login.consultant.ru/link/?req=doc&amp;base=RLAW148&amp;n=211626&amp;date=05.06.2024&amp;dst=100019&amp;field=134" TargetMode="External"/><Relationship Id="rId9" Type="http://schemas.openxmlformats.org/officeDocument/2006/relationships/hyperlink" Target="https://login.consultant.ru/link/?req=doc&amp;base=RLAW148&amp;n=209939&amp;date=05.06.2024&amp;dst=100041&amp;field=134" TargetMode="External"/><Relationship Id="rId10" Type="http://schemas.openxmlformats.org/officeDocument/2006/relationships/hyperlink" Target="https://login.consultant.ru/link/?req=doc&amp;base=RLAW148&amp;n=211626&amp;date=05.06.2024&amp;dst=100020&amp;field=134" TargetMode="External"/><Relationship Id="rId11" Type="http://schemas.openxmlformats.org/officeDocument/2006/relationships/hyperlink" Target="https://login.consultant.ru/link/?req=doc&amp;base=RLAW148&amp;n=168782&amp;date=05.06.2024" TargetMode="External"/><Relationship Id="rId12" Type="http://schemas.openxmlformats.org/officeDocument/2006/relationships/hyperlink" Target="https://login.consultant.ru/link/?req=doc&amp;base=RLAW148&amp;n=209939&amp;date=05.06.2024&amp;dst=100042&amp;field=134" TargetMode="External"/><Relationship Id="rId13" Type="http://schemas.openxmlformats.org/officeDocument/2006/relationships/hyperlink" Target="https://login.consultant.ru/link/?req=doc&amp;base=RLAW148&amp;n=211626&amp;date=05.06.2024&amp;dst=100021&amp;field=134" TargetMode="External"/><Relationship Id="rId14" Type="http://schemas.openxmlformats.org/officeDocument/2006/relationships/hyperlink" Target="https://login.consultant.ru/link/?req=doc&amp;base=RLAW148&amp;n=209939&amp;date=05.06.2024&amp;dst=100043&amp;field=134" TargetMode="External"/><Relationship Id="rId15" Type="http://schemas.openxmlformats.org/officeDocument/2006/relationships/hyperlink" Target="https://login.consultant.ru/link/?req=doc&amp;base=RLAW148&amp;n=211626&amp;date=05.06.2024&amp;dst=100024&amp;field=134" TargetMode="External"/><Relationship Id="rId16" Type="http://schemas.openxmlformats.org/officeDocument/2006/relationships/hyperlink" Target="https://login.consultant.ru/link/?req=doc&amp;base=RLAW148&amp;n=209939&amp;date=05.06.2024&amp;dst=100043&amp;field=134" TargetMode="External"/><Relationship Id="rId17" Type="http://schemas.openxmlformats.org/officeDocument/2006/relationships/hyperlink" Target="https://login.consultant.ru/link/?req=doc&amp;base=RLAW148&amp;n=211626&amp;date=05.06.2024&amp;dst=100026&amp;field=134" TargetMode="External"/><Relationship Id="rId18" Type="http://schemas.openxmlformats.org/officeDocument/2006/relationships/hyperlink" Target="https://login.consultant.ru/link/?req=doc&amp;base=RLAW148&amp;n=211626&amp;date=05.06.2024&amp;dst=100030&amp;field=134" TargetMode="External"/><Relationship Id="rId19" Type="http://schemas.openxmlformats.org/officeDocument/2006/relationships/hyperlink" Target="https://login.consultant.ru/link/?req=doc&amp;base=LAW&amp;n=388003&amp;date=05.06.2024&amp;dst=100006&amp;field=134" TargetMode="External"/><Relationship Id="rId20" Type="http://schemas.openxmlformats.org/officeDocument/2006/relationships/hyperlink" Target="https://login.consultant.ru/link/?req=doc&amp;base=LAW&amp;n=357066&amp;date=05.06.2024" TargetMode="External"/><Relationship Id="rId21" Type="http://schemas.openxmlformats.org/officeDocument/2006/relationships/hyperlink" Target="https://login.consultant.ru/link/?req=doc&amp;base=RLAW148&amp;n=211626&amp;date=05.06.2024&amp;dst=100031&amp;field=134" TargetMode="External"/><Relationship Id="rId22" Type="http://schemas.openxmlformats.org/officeDocument/2006/relationships/hyperlink" Target="https://login.consultant.ru/link/?req=doc&amp;base=RLAW148&amp;n=211626&amp;date=05.06.2024&amp;dst=100032&amp;field=134" TargetMode="External"/><Relationship Id="rId23" Type="http://schemas.openxmlformats.org/officeDocument/2006/relationships/hyperlink" Target="https://login.consultant.ru/link/?req=doc&amp;base=RLAW148&amp;n=211626&amp;date=05.06.2024&amp;dst=100032&amp;field=134" TargetMode="External"/><Relationship Id="rId24" Type="http://schemas.openxmlformats.org/officeDocument/2006/relationships/hyperlink" Target="https://login.consultant.ru/link/?req=doc&amp;base=RLAW148&amp;n=211626&amp;date=05.06.2024&amp;dst=100032&amp;field=134" TargetMode="External"/><Relationship Id="rId25" Type="http://schemas.openxmlformats.org/officeDocument/2006/relationships/hyperlink" Target="https://login.consultant.ru/link/?req=doc&amp;base=RLAW148&amp;n=209939&amp;date=05.06.2024&amp;dst=100043&amp;field=134" TargetMode="External"/><Relationship Id="rId26" Type="http://schemas.openxmlformats.org/officeDocument/2006/relationships/hyperlink" Target="https://login.consultant.ru/link/?req=doc&amp;base=RLAW148&amp;n=211626&amp;date=05.06.2024&amp;dst=100026&amp;field=134" TargetMode="External"/><Relationship Id="rId27" Type="http://schemas.openxmlformats.org/officeDocument/2006/relationships/hyperlink" Target="https://login.consultant.ru/link/?req=doc&amp;base=RLAW148&amp;n=211626&amp;date=05.06.2024&amp;dst=100026&amp;field=134" TargetMode="External"/><Relationship Id="rId28" Type="http://schemas.openxmlformats.org/officeDocument/2006/relationships/hyperlink" Target="https://login.consultant.ru/link/?req=doc&amp;base=RLAW148&amp;n=156011&amp;date=05.06.2024&amp;dst=100008&amp;field=134" TargetMode="External"/><Relationship Id="rId29" Type="http://schemas.openxmlformats.org/officeDocument/2006/relationships/hyperlink" Target="https://login.consultant.ru/link/?req=doc&amp;base=RLAW148&amp;n=211626&amp;date=05.06.2024&amp;dst=100033&amp;field=134" TargetMode="External"/><Relationship Id="rId30" Type="http://schemas.openxmlformats.org/officeDocument/2006/relationships/hyperlink" Target="https://login.consultant.ru/link/?req=doc&amp;base=RLAW148&amp;n=211626&amp;date=05.06.2024&amp;dst=100033&amp;field=134" TargetMode="External"/><Relationship Id="rId31" Type="http://schemas.openxmlformats.org/officeDocument/2006/relationships/hyperlink" Target="https://login.consultant.ru/link/?req=doc&amp;base=RLAW148&amp;n=211626&amp;date=05.06.2024&amp;dst=100034&amp;field=134" TargetMode="External"/><Relationship Id="rId32" Type="http://schemas.openxmlformats.org/officeDocument/2006/relationships/hyperlink" Target="https://login.consultant.ru/link/?req=doc&amp;base=RLAW148&amp;n=209939&amp;date=05.06.2024&amp;dst=100043&amp;field=134" TargetMode="External"/><Relationship Id="rId33" Type="http://schemas.openxmlformats.org/officeDocument/2006/relationships/hyperlink" Target="https://login.consultant.ru/link/?req=doc&amp;base=RLAW148&amp;n=211626&amp;date=05.06.2024&amp;dst=100037&amp;field=134" TargetMode="External"/><Relationship Id="rId34" Type="http://schemas.openxmlformats.org/officeDocument/2006/relationships/hyperlink" Target="https://login.consultant.ru/link/?req=doc&amp;base=RLAW148&amp;n=211626&amp;date=05.06.2024&amp;dst=100032&amp;field=134" TargetMode="External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37" Type="http://schemas.openxmlformats.org/officeDocument/2006/relationships/header" Target="header2.xml"/><Relationship Id="rId38" Type="http://schemas.openxmlformats.org/officeDocument/2006/relationships/header" Target="header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fontTable" Target="fontTable.xml"/><Relationship Id="rId42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LibreOffice/7.5.3.2$Linux_X86_64 LibreOffice_project/50$Build-2</Application>
  <AppVersion>15.0000</AppVersion>
  <Pages>15</Pages>
  <Words>2841</Words>
  <Characters>20649</Characters>
  <CharactersWithSpaces>23184</CharactersWithSpaces>
  <Paragraphs>315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2024-06-05T05:38:00Z</dcterms:created>
  <dc:creator/>
  <dc:description/>
  <dc:language>ru-RU</dc:language>
  <cp:lastModifiedBy/>
  <cp:revision>0</cp:revision>
  <dc:subject/>
  <dc:title>Распоряжение Губернатора Омской области от 24.09.2021 N 117-р(ред. от 23.04.2024)"Об утверждении Комплексного плана мероприятий Омской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годы"(с изм. и доп., вступающими в силу с 05.06.2024)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