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"Большекулачинский специальный дом-интернат для престарелых и инвалидов"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БКСДИ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10.09.1999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Суворов Александр Борисович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Омский, п Дачный ул. Дачная д.30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http://bksdi.ru/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98-36-81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bolshekul_internat@mtsr.omskportal.ru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гражданину на основании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договора о предоставлении социальных услуг, заключаемого между</w:t>
            </w: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поставщиком социальных услуг и гражданином или его законным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представителем, в течение суток с даты представления индивидуальной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программы поставщику социальных услуг.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Существенными условиями договора о предоставлении социальных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 являются положения, определенные индивидуальной программой, а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также стоимость социальных услуг в случае, если они предоставляются за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плату или частичную плату.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Отношения, связанные с исполнением договора о предоставлении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социальных услуг, регулируются в соответствии с законодательством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Российской Федерации.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социальных услуг бесплатно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в стационарной форме социального обслуживания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предоставляются бесплатно: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несовершеннолетним детям;</w:t>
            </w: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лицам, пострадавшим в результате чрезвычайных ситуаций,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вооруженных межнациональных (межэтнических) конфликтов</w:t>
            </w: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в стационарной форме социального обслуживания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предоставляются их получателям за плату или частичную плату, за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исключением получателей социальных услуг, которым услуги</w:t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предоставляются бесплатно.</w:t>
            </w: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ежемесячной платы за предоставление социальных услуг в</w:t>
            </w: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стационарной форме социального обслуживания рассчитывается на основе</w:t>
            </w: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тарифов на социальные услуги, но не может превышать семьдесят пять</w:t>
            </w:r>
          </w:p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процентов среднедушевого дохода получателя социальных услуг.</w:t>
            </w: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предоставление социальных услуг производится в</w:t>
            </w: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соответствии с договором о предоставлении социальных услуг,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Февраль 2023 года.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ГОСУДАРСТВЕННАЯ ИНСПЕКЦИЯ ТРУДА В 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-РЕЗУЛЬТАТ-- Соблюдение Федерального закона "Об основах социального обслуживания граждан в Российской Федерации" от 28.12.2013 N 442-ФЗ; - Приказ Министерства труда и социальной защиты РФ от 24 ноября 2014 г. N 940н "Об утверждении Правил организации деятельности организаций социального обслуживания, их структурных подразделений"; - Трудовой Кодекс Российской Федерации ст. 220, глава 21.</w:t>
            </w:r>
          </w:p>
          <w:p w14:paraId="3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Февраль 2023 года.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ОБЛАСТИ-РЕЗУЛЬТАТ - В РАБОТЕ</w:t>
            </w:r>
          </w:p>
          <w:p w14:paraId="3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Февраль 2023 года.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ОБЛАСТИ-РЕЗУЛЬТАТ - РЭК Омской области по результатам систематического наблюдения за соблюдением АСУСО «БКСДИ» обязательных требований стандартов раскрытия информации в сфере теплоснабжения за период с 01.01.2022 по 27.07.2022 выявлены следующие нарушения: – не исполнена обязанность по раскрытию информации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– субъекты регулирования» (далее – ФГИС «ЕИАС») в шаблоне FAS.JKH.OPEN.INFO.QUARTER.WARM за 1 квартал 2022 года: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до 30.04.2022. Указанные действия (бездействие) могут привести/приводят к нарушениям следующих обязательных требований: 1) части 9 статьи 7 Федерального закона «О теплоснабжении»; 2) пункта 22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№ 570</w:t>
            </w:r>
          </w:p>
          <w:p w14:paraId="3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Август 2022 года.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Западно-Сибирское межрегиональное управление государственного автодорожного надзора Федеральной службы по надзору в сфере транспорта-РЕЗУЛЬТАТ-При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 Западно – Сибирским МУГАДН в соответствии с заданием №2/АД от 25.02.2022г проведен мониторинг безопасности 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 поступили сведения находящееся в комплексной информационно – аналитической системе контроля транспортных средств с использование навигационных технологий ГЛОНАСС в режиме реального времени о следующих бездействиях: 1) не передача информации о географической широте и долготе местоположения транспортных средств,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в Федеральную службу по надзору в сфере транспорта В ходе наблюдения за соблюдением обязательных требований были изучены: информация о транспортном средстве государственный регистрационный знак У187АМ55 принадлежащее АСУСО "БКСДИ". 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  <w:p w14:paraId="3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Июнь 2022 года.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Управление роспотребнадзора по Омской области-РЕЗУЛЬТАТ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АСУСО "БКСДИ" начало свою работу в октябре 1947 года. </w:t>
            </w:r>
          </w:p>
          <w:p w14:paraId="3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01.01.2023 года мощность учреждения составляет 201 койко-место. На сегодняшний день в интернате на обслуживании находится 167 человек.</w:t>
            </w:r>
          </w:p>
          <w:p w14:paraId="3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Интернат занимает площадь 44146 кв.м.</w:t>
            </w:r>
          </w:p>
          <w:p w14:paraId="3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Учреждение расположено в 2-х жилых зданиях по адресу: Омская область, Омский р-н, п. Дачный, ул. Дачная,30.</w:t>
            </w:r>
          </w:p>
          <w:p w14:paraId="3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Кроме этого на территории учреждения имеются отдельно стоящие здания:административные корпуса, хозяйственный корпус, прачечная-склад, гараж, котельная, водонапорная башня, амбар.</w:t>
            </w:r>
          </w:p>
          <w:p w14:paraId="4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Территория интерната огорожена забором из железобетонных плит высотой 2,5 м. В помещениях и на территории учреждения установлена современная система видеонаблюдения. </w:t>
            </w:r>
          </w:p>
          <w:p w14:paraId="4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Вход в интернат  осуществляется через контрольно-пропускной пункт. </w:t>
            </w:r>
          </w:p>
          <w:p w14:paraId="4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Территория учреждения круглосуточно охраняется сотрудниками ЧОП.</w:t>
            </w:r>
          </w:p>
          <w:p w14:paraId="4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Прилегающая территория благоустроена, чистая, имеются скамейки и беседки для отдыха проживающих. В 2021 году проведен ремонт асфальтового покрытия на территории интерната. Все здания и двор учреждения освещены в ночное время суток.</w:t>
            </w:r>
          </w:p>
          <w:p w14:paraId="4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Жилые комнаты оборудованы всей необходимой мебелью. По желанию проживающих в некоторых комнатах установлены телевизоры. </w:t>
            </w:r>
          </w:p>
          <w:p w14:paraId="4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Получатели услуг полностью обеспечиваются мягким инвентарем, а именно: верхней одеждой, костюмно-платьевыми, чулочно-носочными изделиями, головными уборами и галантерейными изделиями, обувью, а также постельными принадлежностями.</w:t>
            </w:r>
          </w:p>
          <w:p w14:paraId="4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интернате оборудована молельная комната, которая была освящена настоятелем Свято-Никольского мужского монастыря.  На базе учреждения служителями православной церкви ежемесячно проводятся богослужения.</w:t>
            </w:r>
          </w:p>
          <w:p w14:paraId="4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Ежегодно проводятся мероприятия направленные на обеспечение доступной среды.</w:t>
            </w:r>
          </w:p>
          <w:p w14:paraId="4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Коридоры, спальные комнаты, входные проемы приспособлены для свободного перемещения инвалидов-колясочников, обеспечено свободное перемещение по территории учреждения. В  жилом корпусе с медицинской частью имеется подъемный механизм (на гусеничном ходу) для подъема и спуска проживающих (на колясках).</w:t>
            </w:r>
          </w:p>
          <w:p w14:paraId="4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2021 году все медицинские кабинеты и хозяйственные помещения  оборудованы табличками, выполненными  шрифтом Брайля. В 2022 году часть табличек были заменены тактильно-звуковыми указателями, были установлены световые маяки для маркировки дверных проемов, в главном корпусе установлена электрическая платформа подъемная инвалидная.</w:t>
            </w:r>
          </w:p>
          <w:p w14:paraId="4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Досуг в доме-интернате организуется по различным направлениям: проводятся занятия в кружках и клубах по интересам.Организуются и проводятся спортивные эстафеты, игры, викторины, концертные программы, турниры, экскурсии, фестивали, онлайн экскурсии,  осуществляются просмотры и обсуждение кинофильмов,  посещение музеев и многое другое. Дом-интернат участвует в благотворительных акциях. Получатели социальных услуг являются призерами и победителями разных конкурсов (в том числе и всероссийских).</w:t>
            </w:r>
          </w:p>
          <w:p w14:paraId="4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целях популяризации и пропаганды учреждения в 2022 году создана страница в социальных сетях  «ВКонтакте»,  где регулярно размещается информация о проводимых мероприятиях в учреждении.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</w:tr>
    </w:tbl>
    <w:p w14:paraId="52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5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0006757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1025501863573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0006518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1025501863573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ОМС00776ВЭ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пользование недрами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ОМС80242ВЭ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пользование недрами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природных ресурсов и экологии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АН55-000778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Деятельность по перевозкам пассажиров и иных лиц автобусами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7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72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</w:tr>
    </w:tbl>
    <w:p w14:paraId="7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7A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7D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Подразделение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7E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B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C000000">
      <w:pPr>
        <w:pStyle w:val="Style_2"/>
        <w:rPr>
          <w:rFonts w:ascii="Times New Roman" w:hAnsi="Times New Roman"/>
          <w:b w:val="1"/>
          <w:sz w:val="18"/>
        </w:rPr>
      </w:pPr>
    </w:p>
    <w:p w14:paraId="B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0A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B010000">
      <w:pPr>
        <w:pStyle w:val="Style_2"/>
        <w:rPr>
          <w:rFonts w:ascii="Times New Roman" w:hAnsi="Times New Roman"/>
          <w:b w:val="1"/>
          <w:sz w:val="18"/>
        </w:rPr>
      </w:pPr>
    </w:p>
    <w:p w14:paraId="0C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13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4010000">
      <w:pPr>
        <w:pStyle w:val="Style_2"/>
        <w:rPr>
          <w:rFonts w:ascii="Times New Roman" w:hAnsi="Times New Roman"/>
          <w:b w:val="1"/>
          <w:sz w:val="18"/>
        </w:rPr>
      </w:pPr>
    </w:p>
    <w:p w14:paraId="15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20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1010000">
      <w:pPr>
        <w:pStyle w:val="Style_2"/>
        <w:rPr>
          <w:rFonts w:ascii="Times New Roman" w:hAnsi="Times New Roman"/>
          <w:b w:val="1"/>
          <w:sz w:val="18"/>
        </w:rPr>
      </w:pPr>
    </w:p>
    <w:p w14:paraId="22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</w:tbl>
    <w:p w14:paraId="2F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0010000">
      <w:pPr>
        <w:pStyle w:val="Style_2"/>
        <w:rPr>
          <w:rFonts w:ascii="Times New Roman" w:hAnsi="Times New Roman"/>
          <w:b w:val="1"/>
          <w:sz w:val="18"/>
        </w:rPr>
      </w:pPr>
    </w:p>
    <w:p w14:paraId="31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38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9010000">
      <w:pPr>
        <w:pStyle w:val="Style_2"/>
        <w:rPr>
          <w:rFonts w:ascii="Times New Roman" w:hAnsi="Times New Roman"/>
          <w:b w:val="1"/>
          <w:sz w:val="18"/>
        </w:rPr>
      </w:pPr>
    </w:p>
    <w:p w14:paraId="3A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47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8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9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нак"/>
    <w:basedOn w:val="Style_3"/>
    <w:link w:val="Style_5_ch"/>
    <w:pPr>
      <w:spacing w:line="240" w:lineRule="exact"/>
      <w:ind/>
      <w:jc w:val="left"/>
    </w:pPr>
    <w:rPr>
      <w:rFonts w:ascii="Verdana" w:hAnsi="Verdana"/>
      <w:sz w:val="20"/>
    </w:rPr>
  </w:style>
  <w:style w:styleId="Style_5_ch" w:type="character">
    <w:name w:val="Знак"/>
    <w:basedOn w:val="Style_3_ch"/>
    <w:link w:val="Style_5"/>
    <w:rPr>
      <w:rFonts w:ascii="Verdana" w:hAnsi="Verdana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llowedHyperlink"/>
    <w:basedOn w:val="Style_10"/>
    <w:link w:val="Style_9_ch"/>
    <w:rPr>
      <w:color w:themeColor="followedHyperlink" w:themeShade="FF" w:val="954F72"/>
      <w:u w:val="single"/>
    </w:rPr>
  </w:style>
  <w:style w:styleId="Style_9_ch" w:type="character">
    <w:name w:val="FollowedHyperlink"/>
    <w:basedOn w:val="Style_10_ch"/>
    <w:link w:val="Style_9"/>
    <w:rPr>
      <w:color w:themeColor="followedHyperlink" w:themeShade="FF" w:val="954F72"/>
      <w:u w:val="single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2" w:type="paragraph">
    <w:name w:val="apple-style-span"/>
    <w:basedOn w:val="Style_10"/>
    <w:link w:val="Style_12_ch"/>
  </w:style>
  <w:style w:styleId="Style_12_ch" w:type="character">
    <w:name w:val="apple-style-span"/>
    <w:basedOn w:val="Style_10_ch"/>
    <w:link w:val="Style_12"/>
  </w:style>
  <w:style w:styleId="Style_13" w:type="paragraph">
    <w:name w:val="Normal (Web)"/>
    <w:basedOn w:val="Style_3"/>
    <w:link w:val="Style_13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3_ch" w:type="character">
    <w:name w:val="Normal (Web)"/>
    <w:basedOn w:val="Style_3_ch"/>
    <w:link w:val="Style_13"/>
    <w:rPr>
      <w:rFonts w:ascii="Times New Roman" w:hAnsi="Times New Roman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3"/>
    <w:link w:val="Style_15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eattr"/>
    <w:basedOn w:val="Style_10"/>
    <w:link w:val="Style_16_ch"/>
  </w:style>
  <w:style w:styleId="Style_16_ch" w:type="character">
    <w:name w:val="eattr"/>
    <w:basedOn w:val="Style_10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0"/>
    <w:link w:val="Style_19_ch"/>
    <w:rPr>
      <w:color w:val="0000FF"/>
      <w:u w:val="single"/>
    </w:rPr>
  </w:style>
  <w:style w:styleId="Style_19_ch" w:type="character">
    <w:name w:val="Hyperlink"/>
    <w:basedOn w:val="Style_10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2023-04-11T05:09:39Z</dcterms:modified>
</cp:coreProperties>
</file>