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984"/>
        <w:tblLayout w:type="fixed"/>
        <w:tblCellMar>
          <w:left w:type="dxa" w:w="0"/>
          <w:right w:type="dxa" w:w="0"/>
        </w:tblCellMar>
      </w:tblPr>
      <w:tblGrid>
        <w:gridCol w:w="3686"/>
        <w:gridCol w:w="6946"/>
      </w:tblGrid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Полное наименование поставщика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Автономное стационарное учреждение социального обслуживания Омской области "Атакский дом-интернат"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Сокращенное наименование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АСУСО Атакский ДИ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государственной регистрации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04.07.1994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Организационно-правовая форма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Учреждения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Фамилия, имя, отчество руководителя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Герасимович Любовь Филипповна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местонахождения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Омская обл., р-н Тарский, п Атак ул. Горская д.6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Сайт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atakinternat.ucoz.net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Контактные телефоны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8 38171 54 3 15, 838171 54 2 35, 838171 54 3 55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электронной почты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atak_internat@mtsr.omskportal.ru</w:t>
            </w:r>
          </w:p>
        </w:tc>
      </w:tr>
      <w:tr>
        <w:trPr>
          <w:trHeight w:hRule="atLeast" w:val="613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Сведения о формах социального обслуживания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Стационарное социальное обслуживание </w:t>
            </w:r>
          </w:p>
        </w:tc>
      </w:tr>
      <w:tr>
        <w:trPr>
          <w:trHeight w:hRule="atLeast" w:val="379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Порядок и у</w:t>
            </w:r>
            <w:r>
              <w:rPr>
                <w:rFonts w:ascii="Times New Roman" w:hAnsi="Times New Roman"/>
                <w:sz w:val="18"/>
              </w:rPr>
              <w:t>словия предоставления социальных услуг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 Социальные услуги предоставляются в стационарной форме социального обслуживания поставщиками социальных услуг гражданам, признанными нуждающимися с социальном обслуживании (далее - гражданин) в порядке, определяемом Министерством труда и социального развития Омской области (далее - Министерство), в соответствии со стандартами социальных услуг.</w:t>
            </w:r>
          </w:p>
          <w:p w14:paraId="1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 Для получения социальных услуг гражданин или его законный представитель предоставляет поставщику социальных услуг следующие документы:</w:t>
            </w:r>
          </w:p>
          <w:p w14:paraId="1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паспорт или иной документ, удостоверяющий личность гражданина;</w:t>
            </w:r>
          </w:p>
          <w:p w14:paraId="1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документ, подтверждающий полномочия законного представителя гражданина, - для законного представителя гражданина;</w:t>
            </w:r>
          </w:p>
          <w:p w14:paraId="1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индивидуальная программа предоставления социальных услуг (далее - индивидуальная программа), выданная территориальным органом Министерства.</w:t>
            </w:r>
          </w:p>
          <w:p w14:paraId="1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 В целях определения стоимости социальных услуг гражданин дополнительно предоставляет следующие документы:</w:t>
            </w:r>
          </w:p>
          <w:p w14:paraId="1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справка о составе семьи гражданина с указанием даты рождения каждого члена семьи и родственных отношений, выдаваемая органом местного самоуправления или жилищно - эксплуатационной организацией.</w:t>
            </w:r>
          </w:p>
          <w:p w14:paraId="1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документы, подтверждающие наличие (отсутствие) доходов у гражданина, членов его семьи, и документы о принадлежащем ему имуществе на праве собственности, необходимые для расчёта среднедушевого дохода получателя социальных услуг.</w:t>
            </w:r>
          </w:p>
          <w:p w14:paraId="2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Гражданин или его законный представитель не  предоставляет документы, указанные в настоящем пункте, при наличии у поставщика социальных услуг соответствующих сведений, полученных в рамках информационного взаимодействия, в том числе в электронной форме, между  поставщиком социальных услуг и государственными органами и организациями, в распоряжении которых находятся указанные сведения.</w:t>
            </w:r>
          </w:p>
          <w:p w14:paraId="2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 В течение суток с даты представления индивидуальной программы поставщику социальных услуг между гражданином или его законным представителем и поставщиком социальных услуг заключается договор о предоставлении социальных услуг (далее - договор).</w:t>
            </w:r>
          </w:p>
          <w:p w14:paraId="2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 Поставщик социальных услуг при заключении договора информирует гражданина или его законного представителя о его правах и обязанностях, видах социальных услуг, сроках, порядке и об условиях их предоставления, о тарифах на эти услуги и об их стоимости.</w:t>
            </w:r>
          </w:p>
          <w:p w14:paraId="2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статье 65 Кодекса Омской области о социальной защите отдельных категорий граждан.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75% среднедушевого дохода получателя социальных услуг.</w:t>
            </w:r>
          </w:p>
          <w:p w14:paraId="2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7. Поставщик социальных услуг вправе отказать получателю  социальных услуг в предоставлении социальных услуг в случае нарушения договора.</w:t>
            </w:r>
          </w:p>
          <w:p w14:paraId="25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противопоказаний.</w:t>
            </w:r>
          </w:p>
          <w:p w14:paraId="2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 Получатель социальных услуг или его законный представитель вправе отказаться от социальных услуг.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Проверки и их результаты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Тарская межрайонная прокуратура Омской области 14.10.2020.Представление рассмотрено в установленный срок, приняты меры к устранению выявленных нарушений.</w:t>
            </w:r>
          </w:p>
          <w:p w14:paraId="2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2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Росздравнадзор по Омской области 17.03.2021. Нарушений не выявлено.</w:t>
            </w:r>
          </w:p>
          <w:p w14:paraId="2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2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Территориальный отдел Федеральной службы по надзору в сфере защиты прав потребителей и благополучия человека по Омской области в Тарском районе 01.02.2021.Предписания выполнены.</w:t>
            </w:r>
          </w:p>
          <w:p w14:paraId="2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2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Западно - Сибирское межрегиональное управление государственного автодорожного надзора федеральной службы по надзору в сфере транспорта (Западно - Сибирскре МУГАДН). Нарушений не выявлено.</w:t>
            </w:r>
          </w:p>
          <w:p w14:paraId="2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3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Главное Управление МЧС России по Омской области Территориальный орган деятельности и профилактической работы по Тарскому району30.09.2021.Нарушений обязательных требований пожарной безопасности не выявлено.</w:t>
            </w:r>
          </w:p>
          <w:p w14:paraId="3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3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Министерство Региональной безопасности Омской области 08.10.2021. Нарушений обязательных требований не выявлено.</w:t>
            </w:r>
          </w:p>
          <w:p w14:paraId="3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3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Территориальный орган Управления Роспотребнадзора по Омской области в Тарском районе 16.09.2021. Приняты меры к устранению выявленных нарушений.</w:t>
            </w:r>
          </w:p>
          <w:p w14:paraId="35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3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37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3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Тарская Межрайонная прокуратура Омской области 13.05.2022. Нарушения устранены.</w:t>
            </w:r>
          </w:p>
          <w:p w14:paraId="3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3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Проверка соблюдения законодательства о пожарной безопасности, о санитарно-эпидемиологическом благополучии населения, об антитеррористической защищённости, о наличии условий для оказания медицинской помощи, о доступности  учреждения для лиц с ограниченными возможностями здоровья 25.01.2023.</w:t>
            </w:r>
          </w:p>
        </w:tc>
      </w:tr>
      <w:tr>
        <w:tc>
          <w:tcPr>
            <w:tcW w:type="dxa" w:w="368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Опыт работы за последние 5 лет</w:t>
            </w:r>
          </w:p>
        </w:tc>
        <w:tc>
          <w:tcPr>
            <w:tcW w:type="dxa" w:w="694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Получатели социальных услуг АСУСО "Атакский ДИ" (далее-учреждение) ежегодно участвуют в творческом фестивале, в Спартакиадах для лиц с ограниченными возможностями здоровья "Сила духа".</w:t>
            </w:r>
          </w:p>
          <w:p w14:paraId="3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2018 году получатели социальных услуг учреждения участвовали в IX межрайонных играх среди лиц с ограниченными возможностями здоровья "Старты победы", Седельниково - 2018.</w:t>
            </w:r>
          </w:p>
          <w:p w14:paraId="3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3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 2018 году получатели социальных услуг участвовали в IV районном фестивале для людей с ограниченными возможностями здоровья "Частичка души", г. Тара . </w:t>
            </w:r>
          </w:p>
          <w:p w14:paraId="4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4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2019 году получатели социальных услуг учреждения участвовали в спортивных играх среди лиц с ограниченными возможностями здоровья "Сильные духом", г. Тара - 2019.</w:t>
            </w:r>
          </w:p>
          <w:p w14:paraId="4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4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2019 году получатели социальных услуг учреждения участвовали в спортивных играх среди лиц с ограниченными возможностями здоровья "Сила духа".</w:t>
            </w:r>
          </w:p>
          <w:p w14:paraId="4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45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2019 году получатели социальных услуг учреждения участвовали в ХII межрайонных спортивных соревнованиях для людей с ограниченными возможностями здоровья "Сильные духом", Седельниково - 2019.</w:t>
            </w:r>
          </w:p>
          <w:p w14:paraId="4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47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2021  году получатели социальных услуг учреждения участвовали в ХIII межрайонных паралимпийских играх "Старты победы", посвящённые 76 - летию победы в ВОВ.</w:t>
            </w:r>
          </w:p>
          <w:p w14:paraId="4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4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2022 году получатели социальных услуг учреждения участвовали в ХIV межрайонных паралимпийских играх "Старты победы", Седельниково - 2022, посвящённые 77 - летию победы в ВОВ.</w:t>
            </w:r>
          </w:p>
          <w:p w14:paraId="4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4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2022 году получатели социальных услуг учреждения участвовали в ХV межрайонных спортивных соревнованиях  для людей с ограниченными возможностями здоровья "Сильные духом", Седельниково - 2022.</w:t>
            </w:r>
          </w:p>
          <w:p w14:paraId="4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4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                        Реализуемые учреждением программы.</w:t>
            </w:r>
          </w:p>
          <w:p w14:paraId="4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4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 Программа  социально - трудовой реабилитации лиц с ограниченными возможностями здоровья "Мир вокруг нас".</w:t>
            </w:r>
          </w:p>
          <w:p w14:paraId="5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 Программа социально - трудовой реабилитации лиц с ограниченными возможностями здоровья "Научиться трудиться - всегда пригодится".</w:t>
            </w:r>
          </w:p>
          <w:p w14:paraId="5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 Программа социально - психологической реабилитации лиц с ограниченными возможностями здоровья "Поверь в себя".</w:t>
            </w:r>
          </w:p>
          <w:p w14:paraId="5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 Программа социокультурной реабилитации лиц с ограниченными возможностями здоровья "Мастерская талантов".</w:t>
            </w:r>
          </w:p>
          <w:p w14:paraId="5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 Программа  социально - бытовой реабилитации лиц с ограниченными возможностями здоровья "Я сам".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Иная </w:t>
            </w:r>
            <w:r>
              <w:rPr>
                <w:rFonts w:ascii="Times New Roman" w:hAnsi="Times New Roman"/>
                <w:sz w:val="18"/>
              </w:rPr>
              <w:t>информация</w:t>
            </w:r>
            <w:r>
              <w:rPr>
                <w:rFonts w:ascii="Times New Roman" w:hAnsi="Times New Roman"/>
                <w:sz w:val="18"/>
              </w:rPr>
              <w:t>, определенная Правительством РФ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5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260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свободных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</w:tr>
    </w:tbl>
    <w:p w14:paraId="5A000000">
      <w:pPr>
        <w:spacing w:after="21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Информация о лицензиях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1685"/>
        <w:gridCol w:w="1009"/>
        <w:gridCol w:w="2126"/>
        <w:gridCol w:w="2410"/>
        <w:gridCol w:w="2849"/>
      </w:tblGrid>
      <w:tr>
        <w:trPr>
          <w:trHeight w:hRule="atLeast" w:val="478"/>
          <w:tblHeader/>
        </w:trP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B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Серия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C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Номер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D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Регистрационный номер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5E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Лицензируемый вид деятельности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5F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Организация выдавшая документ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0006784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ЛО-55-02-001802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6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Фармацевтическая деятельность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6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0006742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ЛО-55-01-002337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6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Медицинская деятельность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6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6A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6B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Формы социального обслуживания</w:t>
      </w:r>
      <w:r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3545"/>
        <w:gridCol w:w="3543"/>
        <w:gridCol w:w="2977"/>
      </w:tblGrid>
      <w:tr>
        <w:trPr>
          <w:trHeight w:hRule="atLeast" w:val="281"/>
          <w:tblHeader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C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Форма обслуживания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D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Общее количество мест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E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Свободное количество мест</w:t>
            </w:r>
          </w:p>
        </w:tc>
      </w:tr>
      <w:t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Стационарное социальное обслуживание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</w:tr>
    </w:tbl>
    <w:p w14:paraId="72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73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Социальные услуги</w:t>
      </w:r>
      <w:r>
        <w:rPr>
          <w:rFonts w:ascii="Times New Roman" w:hAnsi="Times New Roman"/>
          <w:color w:val="000000"/>
          <w:sz w:val="24"/>
        </w:rPr>
        <w:t xml:space="preserve"> 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rPr>
          <w:trHeight w:hRule="atLeast" w:val="245"/>
          <w:tblHeader/>
        </w:trPr>
        <w:tc>
          <w:tcPr>
            <w:tcW w:type="dxa" w:w="8506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4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Название</w:t>
            </w: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5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Стоимость</w:t>
            </w:r>
          </w:p>
        </w:tc>
      </w:tr>
    </w:tbl>
    <w:p w14:paraId="76000000">
      <w:pPr>
        <w:spacing w:after="0" w:line="240" w:lineRule="auto"/>
        <w:ind/>
        <w:jc w:val="both"/>
        <w:outlineLvl w:val="1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  <w:sz w:val="24"/>
        </w:rPr>
        <w:t xml:space="preserve">Форма социального обслуживания - </w:t>
      </w:r>
      <w:r>
        <w:rPr>
          <w:rFonts w:ascii="Times New Roman" w:hAnsi="Times New Roman"/>
          <w:b w:val="1"/>
          <w:sz w:val="24"/>
        </w:rPr>
        <w:t>Подразделения стационарной формы обслуживания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77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Социально-бытовые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 1.12 Отправка за счет средств получателей социальных услуг почтовой корреспонденции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 1.13 Помощь в приеме пищи (кормление)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2 Обеспечение питанием в соответствии с утвержденными нормами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91,41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1 Обеспечение мягким инвентарем в соответствии с утвержденными нормативами, в том числе: -предоставление в пользование получателю социальных услуг мягкого инвентаря в пределах утвержденных нормативов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2 Обеспечение мягким инвентарем в соответствии с утвержденными нормативами, в том числе: -замена мягкого инвентаря в соответствии с установленными сроками износа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3 Обеспечение мягким инвентарем в соответствии с утвержденными нормативами, в том числе: -ремонт мягкого инвентаря, имеющего повреждения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1 Обеспечение за счет средств получателей социальных услуг книгами, журналами, газетами, настольными играми, в том числе: -сбор пожеланий и денежных средств у получателей социальных услуг на приобретение книг, журналов, газет, настольных игр; обеспечение оформления подписки на периодические печатные издания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2 Обеспечение за счет средств получателей социальных услуг книгами, журналами, газетами, настольными играми, в том числе: -приобретение книг, журналов, газет, настольных игр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3 Обеспечение за счет средств получателей социальных услуг книгами, журналами, газетами, настольными играми, в том числе: -выдача приобретенных книг, журналов, газет, настольных игр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5 Предоставление в пользование мебели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 Обеспечение площадью жилых помещений в соответствии с утвержденными нормативами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731,24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1.10 Предоставление транспорта при необходимости перевозки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91,41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-умывание (влажное обтирание) лица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1.11.10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-помощь в подъеме с постели, укладывании в постель, одевании и раздевании, пользовании туалетом, передвижении по организации социального обслуживания, пользовании техническими средствами реабилитации, в том числе слуховыми аппаратами,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1.11.2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-чистка зубов или уход за протезами, полостью рта при отсутствии зубов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1.11.3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-гигиенические ванны/душ (помывка)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1.11.4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волос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1.11.5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ногтей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1.11.6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-бритье бороды и усов (для мужчин)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1.11.7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-причесывание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1.11.8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абсорбирующего белья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1.11.9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нательного белья, пододеяльника, простыни, наволочки, полотенца для лица и рук, полотенца банного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1.6.1 Поддержание условий проживания в соответствии с установленными законодательством санитарно-гигиеническими требованиями, в том числе: -проведение сухой и влажной уборки, вынос мусора, проветривание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1.6.2 Поддержание условий проживания в соответствии с установленными законодательством санитарно-гигиеническими требованиями, в том числе: -проведение генеральной уборки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1.6.3 Поддержание условий проживания в соответствии с установленными законодательством санитарно-гигиеническими требованиями, в том числе: -мытье окон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1.7.1 Стирка, сушка и глажение нательного белья, одежды получателей социальных услуг, постельных принадлежностей, в том числе: -сбор нательного белья, одежды получателей социальных услуг, постельных принадлежностей, сортировка стирка, отжим, полоскание, развешивание для просушивания, глажение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60,94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1.7.2 Стирка, сушка и глажение нательного белья, одежды получателей социальных услуг, постельных принадлежностей, в том числе: -дезинфекция постельных принадлежностей (матрас, одеяло, подушка, покрывало)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1.8.1 Покупка за счет средств получателей социальных услуг (за исключением несовершеннолетних детей) средств личной гигиены, в том числе: сбор пожеланий и денежных средств у получателей социальных услуг (за исключением несовершеннолетних детей) на 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1.8.2 Покупка за счет средств получателей социальных услуг (за исключением несовершеннолетних детей) средств личной гигиены, в том числе: -приобретение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1.8.3 Покупка за счет средств получателей социальных услуг (за исключением несовершеннолетних детей) средств личной гигиены, в том числе: -выдача приобретенных средств личной гигиены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</w:tbl>
    <w:p w14:paraId="B4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B5000000">
      <w:pPr>
        <w:pStyle w:val="Style_2"/>
        <w:rPr>
          <w:rFonts w:ascii="Times New Roman" w:hAnsi="Times New Roman"/>
          <w:b w:val="1"/>
          <w:sz w:val="18"/>
        </w:rPr>
      </w:pPr>
    </w:p>
    <w:p w14:paraId="B6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Социально-медицинские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2.14.2 Оказание первичной медико-санитарной помощи, в том числе: -оказание первичной доврачебной, врачебной медико-санитарной помощи в соответствии с законодательством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2.14.3 Оказание первичной медико-санитарной помощи, в том числе: -установление медицинских показаний и направление в медицинские организации для получения специализированной медицинской помощи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2.14.4 Оказание первичной медико-санитарной помощи, в том числе: -проведение санитарно-гигиенических и противоэпидемических мероприятий, вакцинопрофилактики в установленном законодательством порядке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2.14.5 Оказание первичной медико-санитарной помощи, в том числе: -проведение первичной санитарной обработки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2.14.6 Оказание первичной медико-санитарной помощи, в том числе: -проведение профилактических мероприятий по предупреждению и снижению заболеваемости, выявление ранних и скрытых форм заболеваний, включая социально значимые заболевания, и факторов риска, диспансерное наблюдение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2.14.7 Оказание первичной медико-санитарной помощи, в том числе: -диагностика, лечение заболеваний и состояний, не требующих нахождения в медицинской организации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 Выполнение медицинских процедур, в том числе: -медицинские манипуляции, направленные на оказание первичной доврачебной помощи при экстренных и неотложных состояниях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2.15.10  Выполнение медицинских процедур, в том числе: -подкожные, внутрикожные, внутримышечные введения лекарственных препаратов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2.15.11 Выполнение медицинских процедур, в том числе: -внутривенные и внутривенные капельные введения лекарственных препаратов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2.15.12 Выполнение медицинских процедур, в том числе: -проведение перевязки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2.15.13 Выполнение медицинских процедур, в том числе: -постановка клизмы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2.15.14 Выполнение медицинских процедур, в том числе: -забор биологического материала на лабораторные исследования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2.15.2 Выполнение медицинских процедур, в том числе: -закапывание капель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2.15.3 Выполнение медицинских процедур, в том числе: -втирание мази, геля, эмульсии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2.15.4 Выполнение медицинских процедур, в том числе: -предоставление физиотерапевтической помощи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2.15.5 Выполнение медицинских процедур, в том числе: -проведение лечебной физкультуры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2.15.6 Выполнение медицинских процедур, в том числе: -проведение массажа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2.15.7 Выполнение медицинских процедур, в том числе: -измерение температуры тела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2,54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2.15.8 Выполнение медицинских процедур, в том числе: -измерение артериального давления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2,54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2.15.9 Выполнение медицинских процедур, в том числе: -контроль за приемом лекарственных препаратов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2.16.1 Выполнение процедур, связанных с организацией ухода, наблюдением за состоянием здоровья получателей социальных услуг, в том числе: -поднос и вынос судна, ополаскивание и дезинфекция судна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2.16.2 Выполнение процедур, связанных с организацией ухода, наблюдением за состоянием здоровья получателей социальных услуг, в том числе: -влажное обтирание и обмывание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2.16.3 Выполнение процедур, связанных с организацией ухода, наблюдением за состоянием здоровья получателей социальных услуг, в том числе: -обработка пролежней, культей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2.16.4 Выполнение процедур, связанных с организацией ухода, наблюдением за состоянием здоровья получателей социальных услуг, в том числе: -проведение мероприятий по уходу за катетерами и стомированными получателями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2.17.1 Оказание содействия в проведении оздоровительных мероприятий, в том числе: -организация прогулки получателя социальных услуг, имеющего ограничения в передвижении либо являющегося несовершеннолетним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2.17.2 Оказание содействия в проведении оздоровительных мероприятий, в том числе: -организация принятия воздушных или солнечных ванн получателем социальных услуг, утратившим способность к самостоятельному передвижению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2.18 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2,54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2.19 Проведение мероприятий, направленных на формирование здорового образа жизни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2.20 Проведение занятий по адаптивной физической культуре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2.21 Консультирование по социально-медицинским вопросам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2.22.1 Содействие в предоставлении медицинской помощи, в том числе: -получение талона к врачу, рецепта на лекарственные препараты и медицинские изделия в медицинских организациях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2.22.2 Содействие в предоставлении медицинской помощи, в том числе: -вызов врача-терапевта участкового, сбор документов, результатов медицинского обследования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2.22.3 Содействие в предоставлении медицинской помощи, в том числе: -сопровождение работником организации социального обслуживания получателя социальных услуг в медицинскую организацию (в пределах населенного пункта)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2.22.4 Содействие в предоставлении медицинской помощи, в том числе: -приобретение за счет средств получателя социальных услуг лекарственных препаратов и медицинских изделий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2.22.5 Содействие в предоставлении медицинской помощи, в том числе: -содействие в прохождении медико-социальной экспертизы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121,87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2.22.6 Содействие в предоставлении медицинской помощи, в том числе: -содействие в обеспечении средствами ухода и техническими средствами реабилитации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60,94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2.22.7 Содействие в предоставлении медицинской помощи, в том числе: -выписка врачом рецептов на лекарственные препараты и медицинские изделия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0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2.22.8  Содействие в предоставлении медицинской помощи, в том числе: -содействие в получении зубопротезной и протезно-ортопедической помощи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91,41</w:t>
            </w:r>
          </w:p>
        </w:tc>
      </w:tr>
    </w:tbl>
    <w:p w14:paraId="03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04010000">
      <w:pPr>
        <w:pStyle w:val="Style_2"/>
        <w:rPr>
          <w:rFonts w:ascii="Times New Roman" w:hAnsi="Times New Roman"/>
          <w:b w:val="1"/>
          <w:sz w:val="18"/>
        </w:rPr>
      </w:pPr>
    </w:p>
    <w:p w14:paraId="05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Социально-педагогические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4.29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4.30 Организация помощи родителям 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4.31.1 Социально-педагогическая коррекция, включая диагностику и консультирование, в том числе: -социально-педагогическое консультирование и диагностика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4.31.2 Социально-педагогическая коррекция, включая диагностику и консультирование, в том числе: -социально-педагогическая коррекция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4.32.1 Формирование позитивных интересов, в том числе: -проведение индивидуальных занятий, бесед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4.32.2 Формирование позитивных интересов, в том числе: -проведение групповых занятий, работа клубов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4.33 Организация досуга (праздники, экскурсии и другие культурные мероприятия)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</w:tbl>
    <w:p w14:paraId="14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15010000">
      <w:pPr>
        <w:pStyle w:val="Style_2"/>
        <w:rPr>
          <w:rFonts w:ascii="Times New Roman" w:hAnsi="Times New Roman"/>
          <w:b w:val="1"/>
          <w:sz w:val="18"/>
        </w:rPr>
      </w:pPr>
    </w:p>
    <w:p w14:paraId="16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Социально-правовые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6.37 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9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6.38.1 Оказание помощи в получении юридических услуг: -приглашение юриста, нотариуса, сопровождение к юристу, нотариусу и обратно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A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B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6.38.2 Оказание помощи в получении юридических услуг: -оказание помощи получателю социальных услуг в подготовке документов, необходимых для получения юридических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C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D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6.39.1 Оказание помощи в защите прав и законных интересов получателей социальных услуг: -представление интересов получателя социальных услуг в отношениях с физическими и юридическими лицами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E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F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6.39.2 Оказание помощи в защите прав и законных интересов получателей социальных услуг: -оказание помощи получателю социальных услуг в подготовке запросов о месте нахождения его родственников, установлении с ними контактов, организации связи получателя социальных услуг с его родственниками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0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</w:tbl>
    <w:p w14:paraId="21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22010000">
      <w:pPr>
        <w:pStyle w:val="Style_2"/>
        <w:rPr>
          <w:rFonts w:ascii="Times New Roman" w:hAnsi="Times New Roman"/>
          <w:b w:val="1"/>
          <w:sz w:val="18"/>
        </w:rPr>
      </w:pPr>
    </w:p>
    <w:p w14:paraId="23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Социально-психологические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4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3.23 Социально-психологическое консультирование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5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6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3.24 Социально-психологический патронаж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7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8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3.26 Психологическая помощь и поддержка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9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A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3.27 Социально-психологическая диагностика и обследование личности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B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C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3.28.1 Социально-психологическая коррекция, в том числе: -индивидуальные занятия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D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E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3.28.2 Социально-психологическая коррекция, в том числе: -групповые занятия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F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0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Социально-психологическая коррекция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1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18,48</w:t>
            </w:r>
          </w:p>
        </w:tc>
      </w:tr>
    </w:tbl>
    <w:p w14:paraId="32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33010000">
      <w:pPr>
        <w:pStyle w:val="Style_2"/>
        <w:rPr>
          <w:rFonts w:ascii="Times New Roman" w:hAnsi="Times New Roman"/>
          <w:b w:val="1"/>
          <w:sz w:val="18"/>
        </w:rPr>
      </w:pPr>
    </w:p>
    <w:p w14:paraId="34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Социально-трудовые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5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5.34.1 Проведение мероприятий по использованию трудовых возможностей и обучению доступным профессиональным навыкам: -создание условий для использования остаточных трудовых возможностей и участия в трудовой деятельности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6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7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5.34.2 Проведение мероприятий по использованию трудовых возможностей и обучению доступным профессиональным навыкам: -обучение доступным трудовым и начальным профессиональным навыкам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8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9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5.35 Оказание помощи в трудоустройстве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A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B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5.36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C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</w:tbl>
    <w:p w14:paraId="3D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3E010000">
      <w:pPr>
        <w:pStyle w:val="Style_2"/>
        <w:rPr>
          <w:rFonts w:ascii="Times New Roman" w:hAnsi="Times New Roman"/>
          <w:b w:val="1"/>
          <w:sz w:val="18"/>
        </w:rPr>
      </w:pPr>
    </w:p>
    <w:p w14:paraId="3F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0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7.40 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1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2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7.41.1 Проведение социально-реабилитационных мероприятий в сфере социального обслуживания: -содействие в проведении протезирования и ортезирования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3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4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7.41.2 Проведение социально-реабилитационных мероприятий в сфере социального обслуживания: -организация занятий физической культурой и спортом (при отсутствии медицинских противопоказаний)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5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6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7.42.1 Обучение навыкам поведения в быту и общественных местах: -овладение навыками самообслуживания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7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8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7.42.2 Обучение навыкам поведения в быту и общественных местах: -выполнение элементарных жизненных бытовых операций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9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A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7.42.3 Обучение навыкам поведения в быту и общественных местах: -обучение общепринятым нормам поведения в быту и общественных местах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B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C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7.43 Оказание помощи в обучении навыкам компьютерной грамотности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D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22,85</w:t>
            </w:r>
          </w:p>
        </w:tc>
      </w:tr>
    </w:tbl>
    <w:p w14:paraId="4E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4F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50010000">
      <w:pPr>
        <w:rPr>
          <w:rFonts w:ascii="Times New Roman" w:hAnsi="Times New Roman"/>
          <w:sz w:val="18"/>
        </w:rPr>
      </w:pPr>
    </w:p>
    <w:sectPr>
      <w:pgSz w:h="16838" w:orient="portrait" w:w="11906"/>
      <w:pgMar w:bottom="709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line="264" w:lineRule="auto"/>
      <w:ind w:firstLine="0" w:left="0" w:right="0"/>
      <w:jc w:val="left"/>
    </w:pPr>
    <w:rPr>
      <w:rFonts w:asciiTheme="minorAscii" w:hAnsiTheme="minorHAnsi"/>
      <w:sz w:val="22"/>
    </w:rPr>
  </w:style>
  <w:style w:default="1" w:styleId="Style_3_ch" w:type="character">
    <w:name w:val="Normal"/>
    <w:link w:val="Style_3"/>
    <w:rPr>
      <w:rFonts w:asciiTheme="minorAscii" w:hAnsiTheme="minorHAnsi"/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FollowedHyperlink"/>
    <w:basedOn w:val="Style_7"/>
    <w:link w:val="Style_6_ch"/>
    <w:rPr>
      <w:color w:themeColor="followedHyperlink" w:themeShade="FF" w:val="954F72"/>
      <w:u w:val="single"/>
    </w:rPr>
  </w:style>
  <w:style w:styleId="Style_6_ch" w:type="character">
    <w:name w:val="FollowedHyperlink"/>
    <w:basedOn w:val="Style_7_ch"/>
    <w:link w:val="Style_6"/>
    <w:rPr>
      <w:color w:themeColor="followedHyperlink" w:themeShade="FF" w:val="954F72"/>
      <w:u w:val="single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Знак"/>
    <w:basedOn w:val="Style_3"/>
    <w:link w:val="Style_10_ch"/>
    <w:pPr>
      <w:spacing w:line="240" w:lineRule="exact"/>
      <w:ind/>
      <w:jc w:val="left"/>
    </w:pPr>
    <w:rPr>
      <w:rFonts w:ascii="Verdana" w:hAnsi="Verdana"/>
      <w:sz w:val="20"/>
    </w:rPr>
  </w:style>
  <w:style w:styleId="Style_10_ch" w:type="character">
    <w:name w:val="Знак"/>
    <w:basedOn w:val="Style_3_ch"/>
    <w:link w:val="Style_10"/>
    <w:rPr>
      <w:rFonts w:ascii="Verdana" w:hAnsi="Verdana"/>
      <w:sz w:val="20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apple-style-span"/>
    <w:basedOn w:val="Style_7"/>
    <w:link w:val="Style_12_ch"/>
  </w:style>
  <w:style w:styleId="Style_12_ch" w:type="character">
    <w:name w:val="apple-style-span"/>
    <w:basedOn w:val="Style_7_ch"/>
    <w:link w:val="Style_12"/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Balloon Text"/>
    <w:basedOn w:val="Style_3"/>
    <w:link w:val="Style_14_ch"/>
    <w:pPr>
      <w:spacing w:after="0" w:line="240" w:lineRule="auto"/>
      <w:ind/>
      <w:jc w:val="left"/>
    </w:pPr>
    <w:rPr>
      <w:rFonts w:ascii="Segoe UI" w:hAnsi="Segoe UI"/>
      <w:sz w:val="18"/>
    </w:rPr>
  </w:style>
  <w:style w:styleId="Style_14_ch" w:type="character">
    <w:name w:val="Balloon Text"/>
    <w:basedOn w:val="Style_3_ch"/>
    <w:link w:val="Style_14"/>
    <w:rPr>
      <w:rFonts w:ascii="Segoe UI" w:hAnsi="Segoe UI"/>
      <w:sz w:val="18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7"/>
    <w:link w:val="Style_17_ch"/>
    <w:rPr>
      <w:color w:val="0000FF"/>
      <w:u w:val="single"/>
    </w:rPr>
  </w:style>
  <w:style w:styleId="Style_17_ch" w:type="character">
    <w:name w:val="Hyperlink"/>
    <w:basedOn w:val="Style_7_ch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eattr"/>
    <w:basedOn w:val="Style_7"/>
    <w:link w:val="Style_22_ch"/>
  </w:style>
  <w:style w:styleId="Style_22_ch" w:type="character">
    <w:name w:val="eattr"/>
    <w:basedOn w:val="Style_7_ch"/>
    <w:link w:val="Style_22"/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Normal (Web)"/>
    <w:basedOn w:val="Style_3"/>
    <w:link w:val="Style_25_ch"/>
    <w:pPr>
      <w:spacing w:afterAutospacing="on" w:beforeAutospacing="on" w:line="240" w:lineRule="auto"/>
      <w:ind/>
      <w:jc w:val="left"/>
    </w:pPr>
    <w:rPr>
      <w:rFonts w:ascii="Times New Roman" w:hAnsi="Times New Roman"/>
      <w:sz w:val="24"/>
    </w:rPr>
  </w:style>
  <w:style w:styleId="Style_25_ch" w:type="character">
    <w:name w:val="Normal (Web)"/>
    <w:basedOn w:val="Style_3_ch"/>
    <w:link w:val="Style_25"/>
    <w:rPr>
      <w:rFonts w:ascii="Times New Roman" w:hAnsi="Times New Roman"/>
      <w:sz w:val="24"/>
    </w:rPr>
  </w:style>
  <w:style w:styleId="Style_2" w:type="paragraph">
    <w:name w:val="code"/>
    <w:basedOn w:val="Style_3"/>
    <w:link w:val="Style_2_ch"/>
    <w:pPr>
      <w:spacing w:after="60" w:before="60" w:line="240" w:lineRule="auto"/>
      <w:ind/>
      <w:jc w:val="left"/>
    </w:pPr>
    <w:rPr>
      <w:rFonts w:ascii="Arial" w:hAnsi="Arial"/>
      <w:color w:val="000000"/>
      <w:sz w:val="20"/>
    </w:rPr>
  </w:style>
  <w:style w:styleId="Style_2_ch" w:type="character">
    <w:name w:val="code"/>
    <w:basedOn w:val="Style_3_ch"/>
    <w:link w:val="Style_2"/>
    <w:rPr>
      <w:rFonts w:ascii="Arial" w:hAnsi="Arial"/>
      <w:color w:val="000000"/>
      <w:sz w:val="20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basedOn w:val="Style_3"/>
    <w:link w:val="Style_29_ch"/>
    <w:uiPriority w:val="9"/>
    <w:qFormat/>
    <w:pPr>
      <w:spacing w:afterAutospacing="on" w:beforeAutospacing="on" w:line="240" w:lineRule="auto"/>
      <w:ind/>
      <w:jc w:val="left"/>
      <w:outlineLvl w:val="1"/>
    </w:pPr>
    <w:rPr>
      <w:rFonts w:ascii="Times New Roman" w:hAnsi="Times New Roman"/>
      <w:b w:val="1"/>
      <w:sz w:val="36"/>
    </w:rPr>
  </w:style>
  <w:style w:styleId="Style_29_ch" w:type="character">
    <w:name w:val="heading 2"/>
    <w:basedOn w:val="Style_3_ch"/>
    <w:link w:val="Style_29"/>
    <w:rPr>
      <w:rFonts w:ascii="Times New Roman" w:hAnsi="Times New Roman"/>
      <w:b w:val="1"/>
      <w:sz w:val="3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2023-04-11T05:09:31Z</dcterms:modified>
</cp:coreProperties>
</file>