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Автономная некоммерческая организация "Центр социальной помощи людям, страдающим зависимостью "Линия жизни"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АНО "ЦСП "Линия жизни"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21.07.2017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некоммерческие организации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Скрипко Денис Генадьевич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Омский, с Красноярка ул. Спортивная д.16 корпус -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http://xn--55-plcedabbvve6s.xn--p1ai/kontaktyi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89236801607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liniyagizni55.ru@yandex.ru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Проверок не проводилось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</w:tbl>
    <w:p w14:paraId="23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E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2F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</w:tbl>
    <w:p w14:paraId="3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7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A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Центр социальной адаптации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B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 нормативами, в том числе: 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2,19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157,90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19,74</w:t>
            </w:r>
          </w:p>
        </w:tc>
      </w:tr>
    </w:tbl>
    <w:p w14:paraId="4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9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A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llowedHyperlink"/>
    <w:basedOn w:val="Style_10"/>
    <w:link w:val="Style_9_ch"/>
    <w:rPr>
      <w:color w:themeColor="followedHyperlink" w:themeShade="FF" w:val="954F72"/>
      <w:u w:val="single"/>
    </w:rPr>
  </w:style>
  <w:style w:styleId="Style_9_ch" w:type="character">
    <w:name w:val="FollowedHyperlink"/>
    <w:basedOn w:val="Style_10_ch"/>
    <w:link w:val="Style_9"/>
    <w:rPr>
      <w:color w:themeColor="followedHyperlink" w:themeShade="FF" w:val="954F72"/>
      <w:u w:val="single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apple-style-span"/>
    <w:basedOn w:val="Style_10"/>
    <w:link w:val="Style_12_ch"/>
  </w:style>
  <w:style w:styleId="Style_12_ch" w:type="character">
    <w:name w:val="apple-style-span"/>
    <w:basedOn w:val="Style_10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Normal (Web)"/>
    <w:basedOn w:val="Style_3"/>
    <w:link w:val="Style_15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5_ch" w:type="character">
    <w:name w:val="Normal (Web)"/>
    <w:basedOn w:val="Style_3_ch"/>
    <w:link w:val="Style_15"/>
    <w:rPr>
      <w:rFonts w:ascii="Times New Roman" w:hAnsi="Times New Roman"/>
      <w:sz w:val="24"/>
    </w:rPr>
  </w:style>
  <w:style w:styleId="Style_16" w:type="paragraph">
    <w:name w:val="Hyperlink"/>
    <w:basedOn w:val="Style_10"/>
    <w:link w:val="Style_16_ch"/>
    <w:rPr>
      <w:color w:val="0000FF"/>
      <w:u w:val="single"/>
    </w:rPr>
  </w:style>
  <w:style w:styleId="Style_16_ch" w:type="character">
    <w:name w:val="Hyperlink"/>
    <w:basedOn w:val="Style_10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Знак"/>
    <w:basedOn w:val="Style_3"/>
    <w:link w:val="Style_23_ch"/>
    <w:pPr>
      <w:spacing w:line="240" w:lineRule="exact"/>
      <w:ind/>
      <w:jc w:val="left"/>
    </w:pPr>
    <w:rPr>
      <w:rFonts w:ascii="Verdana" w:hAnsi="Verdana"/>
      <w:sz w:val="20"/>
    </w:rPr>
  </w:style>
  <w:style w:styleId="Style_23_ch" w:type="character">
    <w:name w:val="Знак"/>
    <w:basedOn w:val="Style_3_ch"/>
    <w:link w:val="Style_23"/>
    <w:rPr>
      <w:rFonts w:ascii="Verdana" w:hAnsi="Verdana"/>
      <w:sz w:val="20"/>
    </w:rPr>
  </w:style>
  <w:style w:styleId="Style_24" w:type="paragraph">
    <w:name w:val="eattr"/>
    <w:basedOn w:val="Style_10"/>
    <w:link w:val="Style_24_ch"/>
  </w:style>
  <w:style w:styleId="Style_24_ch" w:type="character">
    <w:name w:val="eattr"/>
    <w:basedOn w:val="Style_10_ch"/>
    <w:link w:val="Style_24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3_ch"/>
    <w:link w:val="Style_28"/>
    <w:rPr>
      <w:rFonts w:ascii="Times New Roman" w:hAnsi="Times New Roman"/>
      <w:b w:val="1"/>
      <w:sz w:val="36"/>
    </w:rPr>
  </w:style>
  <w:style w:styleId="Style_29" w:type="paragraph">
    <w:name w:val="Balloon Text"/>
    <w:basedOn w:val="Style_3"/>
    <w:link w:val="Style_29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9_ch" w:type="character">
    <w:name w:val="Balloon Text"/>
    <w:basedOn w:val="Style_3_ch"/>
    <w:link w:val="Style_29"/>
    <w:rPr>
      <w:rFonts w:ascii="Segoe UI" w:hAnsi="Segoe UI"/>
      <w:sz w:val="1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2023-04-11T04:40:45Z</dcterms:modified>
</cp:coreProperties>
</file>