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Жильникова Мариэта Аркадьевна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дезадаптированных лиц старшего поколения без определенного места жительства "Домашний очаг"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13.04.2017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Жильникова Мариэта Аркадьевна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Медовая д.12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www.skala.by2.by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8-913-668-15-23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email: 89136681523@mail.ru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 Пансионат для дезадаптированных лиц старшего поколения без определенного места жительства "Домашний очаг", расположенный по адресу: 646610, Омская область, Горьковский район, с. Георгиевка, ул. Центральная, д. 44, открыт с 2022 года.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Пансионат для дезадаптированных лиц старшего поколения без определенного места жительства "Домашний очаг", расположенный по адресу: 644005, г. Омск,  ул. Демьяна Бедного, д. 60,  открыт с 2021 года.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14:paraId="24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0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14:paraId="3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8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Индивидуальный предприниматель Жильникова Мариэта Аркадьевна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7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8000000">
      <w:pPr>
        <w:pStyle w:val="Style_2"/>
        <w:rPr>
          <w:rFonts w:ascii="Times New Roman" w:hAnsi="Times New Roman"/>
          <w:b w:val="1"/>
          <w:sz w:val="18"/>
        </w:rPr>
      </w:pPr>
    </w:p>
    <w:p w14:paraId="7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9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B000000">
      <w:pPr>
        <w:pStyle w:val="Style_2"/>
        <w:rPr>
          <w:rFonts w:ascii="Times New Roman" w:hAnsi="Times New Roman"/>
          <w:b w:val="1"/>
          <w:sz w:val="18"/>
        </w:rPr>
      </w:pPr>
    </w:p>
    <w:p w14:paraId="9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9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0000000">
      <w:pPr>
        <w:pStyle w:val="Style_2"/>
        <w:rPr>
          <w:rFonts w:ascii="Times New Roman" w:hAnsi="Times New Roman"/>
          <w:b w:val="1"/>
          <w:sz w:val="18"/>
        </w:rPr>
      </w:pPr>
    </w:p>
    <w:p w14:paraId="A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5000000">
      <w:pPr>
        <w:pStyle w:val="Style_2"/>
        <w:rPr>
          <w:rFonts w:ascii="Times New Roman" w:hAnsi="Times New Roman"/>
          <w:b w:val="1"/>
          <w:sz w:val="18"/>
        </w:rPr>
      </w:pPr>
    </w:p>
    <w:p w14:paraId="A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D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Знак"/>
    <w:basedOn w:val="Style_3"/>
    <w:link w:val="Style_8_ch"/>
    <w:pPr>
      <w:spacing w:line="240" w:lineRule="exact"/>
      <w:ind/>
      <w:jc w:val="left"/>
    </w:pPr>
    <w:rPr>
      <w:rFonts w:ascii="Verdana" w:hAnsi="Verdana"/>
      <w:sz w:val="20"/>
    </w:rPr>
  </w:style>
  <w:style w:styleId="Style_8_ch" w:type="character">
    <w:name w:val="Знак"/>
    <w:basedOn w:val="Style_3_ch"/>
    <w:link w:val="Style_8"/>
    <w:rPr>
      <w:rFonts w:ascii="Verdana" w:hAnsi="Verdana"/>
      <w:sz w:val="20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val="0000FF"/>
      <w:u w:val="single"/>
    </w:rPr>
  </w:style>
  <w:style w:styleId="Style_14_ch" w:type="character">
    <w:name w:val="Hyperlink"/>
    <w:basedOn w:val="Style_10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3"/>
    <w:link w:val="Style_18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FollowedHyperlink"/>
    <w:basedOn w:val="Style_10"/>
    <w:link w:val="Style_20_ch"/>
    <w:rPr>
      <w:color w:themeColor="followedHyperlink" w:themeShade="FF" w:val="954F72"/>
      <w:u w:val="single"/>
    </w:rPr>
  </w:style>
  <w:style w:styleId="Style_20_ch" w:type="character">
    <w:name w:val="FollowedHyperlink"/>
    <w:basedOn w:val="Style_10_ch"/>
    <w:link w:val="Style_20"/>
    <w:rPr>
      <w:color w:themeColor="followedHyperlink" w:themeShade="FF" w:val="954F72"/>
      <w:u w:val="single"/>
    </w:rPr>
  </w:style>
  <w:style w:styleId="Style_21" w:type="paragraph">
    <w:name w:val="apple-style-span"/>
    <w:basedOn w:val="Style_10"/>
    <w:link w:val="Style_21_ch"/>
  </w:style>
  <w:style w:styleId="Style_21_ch" w:type="character">
    <w:name w:val="apple-style-span"/>
    <w:basedOn w:val="Style_10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Normal (Web)"/>
    <w:basedOn w:val="Style_3"/>
    <w:link w:val="Style_23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3_ch" w:type="character">
    <w:name w:val="Normal (Web)"/>
    <w:basedOn w:val="Style_3_ch"/>
    <w:link w:val="Style_23"/>
    <w:rPr>
      <w:rFonts w:ascii="Times New Roman" w:hAnsi="Times New Roman"/>
      <w:sz w:val="24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eattr"/>
    <w:basedOn w:val="Style_10"/>
    <w:link w:val="Style_29_ch"/>
  </w:style>
  <w:style w:styleId="Style_29_ch" w:type="character">
    <w:name w:val="eattr"/>
    <w:basedOn w:val="Style_10_ch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2023-04-11T04:29:52Z</dcterms:modified>
</cp:coreProperties>
</file>