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2C60C4" w:rsidTr="0095736D">
        <w:tc>
          <w:tcPr>
            <w:tcW w:w="5306" w:type="dxa"/>
          </w:tcPr>
          <w:p w:rsidR="002C60C4" w:rsidRPr="002C60C4" w:rsidRDefault="005251FA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5251FA">
              <w:rPr>
                <w:noProof/>
                <w:lang w:eastAsia="ru-RU"/>
              </w:rPr>
              <w:pict>
                <v:rect id="_x0000_s1027" style="position:absolute;margin-left:1.65pt;margin-top:5.65pt;width:236.25pt;height:518.25pt;z-index:251659264" strokecolor="#8db3e2 [1311]" strokeweight="2.25pt">
                  <v:textbox style="mso-next-textbox:#_x0000_s1027">
                    <w:txbxContent>
                      <w:p w:rsidR="008930B0" w:rsidRPr="008930B0" w:rsidRDefault="008930B0" w:rsidP="008930B0">
                        <w:pPr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8930B0">
                          <w:rPr>
                            <w:sz w:val="16"/>
                            <w:szCs w:val="16"/>
                          </w:rPr>
                          <w:t>актов, содержащих нормы трудового права, территориальное объединение организаций профсоюзов и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органу, а о страховых случаях – в исполнительный орган страховщика (по месту регистрации работодателя в качестве страхователя).</w:t>
                        </w:r>
                        <w:proofErr w:type="gramEnd"/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О случаях острого отравления работодатель  сообщает в соответствующий орган федерального </w:t>
                        </w:r>
                        <w:hyperlink r:id="rId6" w:history="1">
                          <w:r w:rsidRPr="008930B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органа</w:t>
                          </w:r>
                        </w:hyperlink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исполнительной власти, осуществляющего функции по федеральному государственному санитарно-эпидемиологическому надзору.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outlineLvl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Порядок формирования комиссий по расследованию несчастных случаев (</w:t>
                        </w: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ст. 229 ТК РФ).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Для расследования несчастного случая работодатель (его представитель) незамедлительно образует комиссию в составе не менее трех человек. В состав комиссии включаются: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numPr>
                            <w:ilvl w:val="0"/>
                            <w:numId w:val="7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специалист по охране труда или лицо, назначенное ответственным за организацию работы по охране труда приказом (распоряжением) работодателя;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numPr>
                            <w:ilvl w:val="0"/>
                            <w:numId w:val="7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представители работодателя;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numPr>
                            <w:ilvl w:val="0"/>
                            <w:numId w:val="7"/>
                          </w:numPr>
                          <w:tabs>
                            <w:tab w:val="clear" w:pos="397"/>
                            <w:tab w:val="left" w:pos="426"/>
                            <w:tab w:val="num" w:pos="993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представители выборного органа первичной профсоюзной организации или иного представительного органа работников, уполномоченный по охране труда.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Возглавляет комиссию работодатель (его представитель).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При расследовании группового несчастного случая с </w:t>
                        </w:r>
                        <w:proofErr w:type="gramStart"/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тяжелыми</w:t>
                        </w:r>
                        <w:proofErr w:type="gramEnd"/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повреждениям здоровья, несчастного случая (в том числе группового) со смертельным исходом в состав комиссии также включаются: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- государственный инспектор труда; 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 представители органа исполнительной власти субъекта Российской Федерации или органа местного самоуправления (по согласованию);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 представитель территориального объединения организаций профсоюзов;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При расследовании указанных несчастных случаев с </w:t>
                        </w:r>
                        <w:proofErr w:type="gramStart"/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застрахованными</w:t>
                        </w:r>
                        <w:proofErr w:type="gramEnd"/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– представители исполнительного органа страховщика (по месту регистрации работодателя в качестве страхователя). 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426"/>
                          </w:tabs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Комиссию возглавляет должностное лицо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                  </w:r>
                      </w:p>
                      <w:p w:rsidR="002C60C4" w:rsidRPr="008930B0" w:rsidRDefault="002C60C4" w:rsidP="008930B0">
                        <w:pPr>
                          <w:tabs>
                            <w:tab w:val="left" w:pos="426"/>
                          </w:tabs>
                          <w:ind w:firstLine="284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5251FA">
              <w:rPr>
                <w:noProof/>
                <w:lang w:eastAsia="ru-RU"/>
              </w:rPr>
              <w:pict>
                <v:rect id="_x0000_s1030" style="position:absolute;margin-left:-29.15pt;margin-top:7.75pt;width:843.85pt;height:41.45pt;z-index:251658239" fillcolor="#8db3e2 [1311]" stroked="f"/>
              </w:pict>
            </w:r>
            <w:r w:rsidR="009F587B" w:rsidRPr="009F587B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-409234</wp:posOffset>
                  </wp:positionH>
                  <wp:positionV relativeFrom="paragraph">
                    <wp:posOffset>-360045</wp:posOffset>
                  </wp:positionV>
                  <wp:extent cx="10803625" cy="7645247"/>
                  <wp:effectExtent l="19050" t="0" r="0" b="0"/>
                  <wp:wrapNone/>
                  <wp:docPr id="13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98" cy="76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Pr="002C60C4" w:rsidRDefault="005251FA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5251FA">
              <w:rPr>
                <w:noProof/>
                <w:lang w:eastAsia="ru-RU"/>
              </w:rPr>
              <w:pict>
                <v:rect id="_x0000_s1028" style="position:absolute;margin-left:10.85pt;margin-top:5.65pt;width:233.25pt;height:518.25pt;z-index:251660288;mso-position-horizontal-relative:text;mso-position-vertical-relative:text" strokecolor="#8db3e2 [1311]" strokeweight="2.25pt">
                  <v:textbox style="mso-next-textbox:#_x0000_s1028">
                    <w:txbxContent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284"/>
                          </w:tabs>
                          <w:ind w:firstLine="142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Состав комиссии утверждается приказом (распоряжением) работодателя.</w:t>
                        </w:r>
                      </w:p>
                      <w:p w:rsidR="008930B0" w:rsidRPr="008930B0" w:rsidRDefault="008930B0" w:rsidP="008930B0">
                        <w:pPr>
                          <w:pStyle w:val="ConsPlusNormal"/>
                          <w:tabs>
                            <w:tab w:val="left" w:pos="284"/>
                          </w:tabs>
                          <w:ind w:firstLine="142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 расследовании несчастного случая у работодателя – физического лица принимают участие указанный работодатель или его полномочный представитель, доверенное лицо пострадавшего, специалист по охране труда, который может привлекаться к расследованию несчастного случая и на договорной основе.</w:t>
                        </w:r>
                      </w:p>
                      <w:p w:rsidR="008930B0" w:rsidRPr="008930B0" w:rsidRDefault="008930B0" w:rsidP="008930B0">
                        <w:pPr>
                          <w:tabs>
                            <w:tab w:val="left" w:pos="284"/>
                          </w:tabs>
                          <w:ind w:firstLine="142"/>
                          <w:jc w:val="both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Материалы расследования несчастного случая включают: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приказ (распоряжение) о создании комиссии по расследованию несчастного случая;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планы, эскизы, схемы, протокол осмотра места происшествия, фото- и видеоматериалы;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документы, характеризующие состояние рабочего места, наличие опасных и вредных производственных факторов;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выписки из журналов регистрации инструктажей по охране труда и протоколов проверки знания пострадавшими требований охраны труда;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протоколы опросов очевидцев несчастного случая и должностных лиц, объяснения пострадавших;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экспертные заключения специалистов, результаты технических расчетов, лабораторных исследований;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опьянения;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копии документов, подтверждающих выдачу пострадавшему средства индивидуальной защиты в соответствии с действующими нормами;</w:t>
                        </w:r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власти, а также выписки из представлений профсоюзных инспекторов труда об устранении выявленных нарушений требований охраны труда;</w:t>
                        </w:r>
                        <w:proofErr w:type="gramEnd"/>
                      </w:p>
                      <w:p w:rsidR="008930B0" w:rsidRPr="008930B0" w:rsidRDefault="008930B0" w:rsidP="008930B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clear" w:pos="397"/>
                            <w:tab w:val="left" w:pos="284"/>
                            <w:tab w:val="num" w:pos="993"/>
                          </w:tabs>
                          <w:spacing w:after="0" w:line="240" w:lineRule="auto"/>
                          <w:ind w:firstLine="142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930B0">
                          <w:rPr>
                            <w:color w:val="000000"/>
                            <w:sz w:val="16"/>
                            <w:szCs w:val="16"/>
                          </w:rPr>
                          <w:t>другие документы по усмотрению комиссии.</w:t>
                        </w:r>
                      </w:p>
                      <w:p w:rsidR="00C60948" w:rsidRPr="008930B0" w:rsidRDefault="00C60948" w:rsidP="008930B0">
                        <w:pPr>
                          <w:tabs>
                            <w:tab w:val="left" w:pos="284"/>
                          </w:tabs>
                          <w:spacing w:after="200" w:line="276" w:lineRule="auto"/>
                          <w:ind w:firstLine="142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Default="005251FA" w:rsidP="002C60C4">
            <w:pPr>
              <w:pStyle w:val="4"/>
              <w:widowControl w:val="0"/>
              <w:outlineLvl w:val="3"/>
              <w:rPr>
                <w:lang w:val="en-US"/>
              </w:rPr>
            </w:pPr>
            <w:r>
              <w:rPr>
                <w:noProof/>
              </w:rPr>
              <w:pict>
                <v:rect id="_x0000_s1029" style="position:absolute;left:0;text-align:left;margin-left:17.75pt;margin-top:9.25pt;width:234.75pt;height:529.45pt;z-index:251661312;mso-position-horizontal-relative:text;mso-position-vertical-relative:text" filled="f" stroked="f">
                  <v:textbox style="mso-next-textbox:#_x0000_s1029">
                    <w:txbxContent>
                      <w:p w:rsidR="002C60C4" w:rsidRPr="003C1DEA" w:rsidRDefault="002C60C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b/>
                            <w:bCs/>
                            <w:sz w:val="24"/>
                            <w:szCs w:val="24"/>
                          </w:rPr>
                          <w:t>Министерство труда и социального развития Омской области</w:t>
                        </w:r>
                        <w:r w:rsidRPr="002C60C4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AE74F4" w:rsidRPr="002C60C4" w:rsidRDefault="00AE74F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8230" cy="8667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5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823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in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60C4" w:rsidRPr="002C60C4" w:rsidRDefault="002C60C4" w:rsidP="002C60C4">
                        <w:pPr>
                          <w:widowControl w:val="0"/>
                          <w:tabs>
                            <w:tab w:val="left" w:pos="225"/>
                          </w:tabs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8930B0" w:rsidRPr="008930B0" w:rsidRDefault="008930B0" w:rsidP="008930B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28"/>
                          </w:rPr>
                        </w:pPr>
                        <w:r w:rsidRPr="008930B0">
                          <w:rPr>
                            <w:b/>
                            <w:color w:val="000000"/>
                            <w:sz w:val="36"/>
                            <w:szCs w:val="28"/>
                          </w:rPr>
                          <w:t>Расследование несчастных случаев на производстве</w:t>
                        </w:r>
                      </w:p>
                      <w:p w:rsidR="00C60948" w:rsidRPr="00651B8A" w:rsidRDefault="00C60948" w:rsidP="00C60948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</w:p>
                      <w:p w:rsidR="00C60948" w:rsidRDefault="00C60948" w:rsidP="00C6094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C60948" w:rsidRDefault="00C60948" w:rsidP="00C6094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C60948" w:rsidRDefault="00C60948" w:rsidP="00C6094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C60948" w:rsidRDefault="00C60948" w:rsidP="00C609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en-US"/>
                          </w:rPr>
                        </w:pPr>
                      </w:p>
                      <w:p w:rsidR="008930B0" w:rsidRPr="008930B0" w:rsidRDefault="008930B0" w:rsidP="00C60948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en-US"/>
                          </w:rPr>
                        </w:pPr>
                      </w:p>
                      <w:p w:rsidR="00C60948" w:rsidRPr="00FD6323" w:rsidRDefault="00C60948" w:rsidP="00C6094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C60948" w:rsidRPr="00C60948" w:rsidRDefault="00C60948" w:rsidP="00C60948">
                        <w:pPr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C60948">
                          <w:rPr>
                            <w:sz w:val="22"/>
                            <w:szCs w:val="28"/>
                          </w:rPr>
                          <w:t>2014 год</w:t>
                        </w:r>
                      </w:p>
                      <w:p w:rsidR="002C60C4" w:rsidRPr="00417D67" w:rsidRDefault="002C60C4" w:rsidP="002C60C4"/>
                      <w:p w:rsidR="0095736D" w:rsidRPr="00417D67" w:rsidRDefault="0095736D" w:rsidP="002C60C4"/>
                      <w:p w:rsidR="002C60C4" w:rsidRPr="002C60C4" w:rsidRDefault="002C60C4" w:rsidP="002C60C4"/>
                      <w:p w:rsidR="0095736D" w:rsidRPr="00417D67" w:rsidRDefault="0095736D" w:rsidP="002C60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2014 год</w:t>
                        </w:r>
                      </w:p>
                    </w:txbxContent>
                  </v:textbox>
                </v:rect>
              </w:pict>
            </w: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P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</w:tc>
      </w:tr>
    </w:tbl>
    <w:p w:rsidR="00671F6B" w:rsidRPr="002C60C4" w:rsidRDefault="005251FA" w:rsidP="002C60C4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3" style="position:absolute;margin-left:278.45pt;margin-top:5.85pt;width:241.45pt;height:518.25pt;z-index:251667456;mso-position-horizontal-relative:text;mso-position-vertical-relative:text" strokecolor="#8db3e2 [1311]" strokeweight="2.25pt">
            <v:textbox style="mso-next-textbox:#_x0000_s1033">
              <w:txbxContent>
                <w:p w:rsidR="008930B0" w:rsidRPr="008930B0" w:rsidRDefault="008930B0" w:rsidP="008930B0">
                  <w:pPr>
                    <w:tabs>
                      <w:tab w:val="left" w:pos="284"/>
                      <w:tab w:val="left" w:pos="426"/>
                    </w:tabs>
                    <w:jc w:val="both"/>
                    <w:rPr>
                      <w:b/>
                      <w:sz w:val="16"/>
                      <w:szCs w:val="16"/>
                    </w:rPr>
                  </w:pPr>
                  <w:r w:rsidRPr="008930B0">
                    <w:rPr>
                      <w:sz w:val="16"/>
                      <w:szCs w:val="16"/>
                    </w:rPr>
                    <w:t xml:space="preserve">насекомыми; повреждения вследствие взрывов, аварий, разрушения зданий, стихийных бедствий и других чрезвычайных обстоятельств, иные повреждения здоровья, обусловленные воздействием внешних факторов, повлекшие за собой необходимость перевода </w:t>
                  </w:r>
                  <w:proofErr w:type="spellStart"/>
                  <w:proofErr w:type="gramStart"/>
                  <w:r w:rsidRPr="008930B0">
                    <w:rPr>
                      <w:sz w:val="16"/>
                      <w:szCs w:val="16"/>
                    </w:rPr>
                    <w:t>постра-давших</w:t>
                  </w:r>
                  <w:proofErr w:type="spellEnd"/>
                  <w:proofErr w:type="gramEnd"/>
                  <w:r w:rsidRPr="008930B0">
                    <w:rPr>
                      <w:sz w:val="16"/>
                      <w:szCs w:val="16"/>
                    </w:rPr>
                    <w:t xml:space="preserve"> на другую работу, временную или стойкую утрату ими трудоспособности либо смерть пострадавших, </w:t>
                  </w:r>
                  <w:r w:rsidRPr="008930B0">
                    <w:rPr>
                      <w:b/>
                      <w:sz w:val="16"/>
                      <w:szCs w:val="16"/>
                    </w:rPr>
                    <w:t>если указанные события произошли: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5"/>
                    </w:numPr>
                    <w:tabs>
                      <w:tab w:val="clear" w:pos="397"/>
                      <w:tab w:val="left" w:pos="284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течение рабочего времени на территории работодателя либо в ином месте выполнения работы, в том числе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</w:t>
                  </w:r>
                  <w:proofErr w:type="gramStart"/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пределами</w:t>
                  </w:r>
                  <w:proofErr w:type="gramEnd"/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установленной для работника продолжительности рабочего времени, в выходные и нерабочие праздничные дни;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5"/>
                    </w:numPr>
                    <w:tabs>
                      <w:tab w:val="clear" w:pos="397"/>
                      <w:tab w:val="left" w:pos="284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следовании к месту выполнения работы или с работы на транспортном средстве, предоставленном работодателем,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 (его представителя) или по соглашению сторон трудового договора;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5"/>
                    </w:numPr>
                    <w:tabs>
                      <w:tab w:val="clear" w:pos="397"/>
                      <w:tab w:val="left" w:pos="284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5"/>
                    </w:numPr>
                    <w:tabs>
                      <w:tab w:val="clear" w:pos="397"/>
                      <w:tab w:val="left" w:pos="284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следовании на транспортном средстве в качестве сменщика во время междусменного отдыха;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5"/>
                    </w:numPr>
                    <w:tabs>
                      <w:tab w:val="clear" w:pos="397"/>
                      <w:tab w:val="left" w:pos="284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работе вахтовым методом во время междусменного отдыха, а также при нахождении на судне (воздушном, морском, речном) в свободное от вахты и судовых работ время;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5"/>
                    </w:numPr>
                    <w:tabs>
                      <w:tab w:val="clear" w:pos="397"/>
                      <w:tab w:val="left" w:pos="284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осуществлении иных правомерных действий, обусловленных трудовыми отношениями с работодателем либо совершаемых в его интересах, в том числе действий, направленных на предотвращение катастрофы, аварии или несчастного случая.</w:t>
                  </w:r>
                </w:p>
                <w:p w:rsidR="008930B0" w:rsidRPr="008930B0" w:rsidRDefault="008930B0" w:rsidP="008930B0">
                  <w:pPr>
                    <w:pStyle w:val="ConsPlusNormal"/>
                    <w:tabs>
                      <w:tab w:val="left" w:pos="284"/>
                      <w:tab w:val="left" w:pos="426"/>
                    </w:tabs>
                    <w:ind w:firstLine="284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Обязанности работодателя при несчастном случае </w:t>
                  </w: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(ст. 228 ТК РФ</w:t>
                  </w:r>
                  <w:r w:rsidRPr="008930B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  <w:p w:rsidR="008930B0" w:rsidRPr="008930B0" w:rsidRDefault="008930B0" w:rsidP="008930B0">
                  <w:pPr>
                    <w:pStyle w:val="ConsPlusNormal"/>
                    <w:tabs>
                      <w:tab w:val="left" w:pos="284"/>
                      <w:tab w:val="left" w:pos="426"/>
                    </w:tabs>
                    <w:ind w:firstLine="284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 Немедленно организовать первую помощь пострадавшему и при необходимости доставку его в медицинскую организацию.</w:t>
                  </w:r>
                </w:p>
                <w:p w:rsidR="008930B0" w:rsidRPr="008930B0" w:rsidRDefault="008930B0" w:rsidP="008930B0">
                  <w:pPr>
                    <w:pStyle w:val="ConsPlusNormal"/>
                    <w:tabs>
                      <w:tab w:val="left" w:pos="284"/>
                      <w:tab w:val="left" w:pos="426"/>
                    </w:tabs>
                    <w:ind w:firstLine="28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 Принять неотложные меры по предотвращению развития аварийной или иной чрезвычайной ситуации и воздействия травмирующих факторов на других лиц.</w:t>
                  </w:r>
                </w:p>
                <w:p w:rsidR="008930B0" w:rsidRPr="008930B0" w:rsidRDefault="008930B0" w:rsidP="008930B0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 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обстановку. </w:t>
                  </w:r>
                </w:p>
                <w:p w:rsidR="008930B0" w:rsidRPr="008930B0" w:rsidRDefault="008930B0" w:rsidP="008930B0">
                  <w:pPr>
                    <w:pStyle w:val="ConsPlusNormal"/>
                    <w:tabs>
                      <w:tab w:val="left" w:pos="284"/>
                      <w:tab w:val="left" w:pos="426"/>
                    </w:tabs>
                    <w:ind w:firstLine="28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930B0" w:rsidRPr="008930B0" w:rsidRDefault="008930B0" w:rsidP="008930B0">
                  <w:pPr>
                    <w:pStyle w:val="ConsPlusNormal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line="240" w:lineRule="auto"/>
                    <w:ind w:left="709" w:firstLine="28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930B0" w:rsidRPr="008930B0" w:rsidRDefault="008930B0" w:rsidP="008930B0">
                  <w:pPr>
                    <w:tabs>
                      <w:tab w:val="left" w:pos="284"/>
                      <w:tab w:val="left" w:pos="426"/>
                    </w:tabs>
                    <w:ind w:firstLine="284"/>
                    <w:rPr>
                      <w:sz w:val="16"/>
                      <w:szCs w:val="16"/>
                    </w:rPr>
                  </w:pPr>
                </w:p>
                <w:p w:rsidR="00446062" w:rsidRPr="008930B0" w:rsidRDefault="00446062" w:rsidP="008930B0">
                  <w:pPr>
                    <w:tabs>
                      <w:tab w:val="left" w:pos="284"/>
                      <w:tab w:val="left" w:pos="426"/>
                    </w:tabs>
                    <w:ind w:firstLine="284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3.4pt;margin-top:5.85pt;width:242.75pt;height:518.25pt;z-index:251666432;mso-position-horizontal-relative:text;mso-position-vertical-relative:text" strokecolor="#8db3e2 [1311]" strokeweight="2.25pt">
            <v:textbox style="mso-next-textbox:#_x0000_s1032">
              <w:txbxContent>
                <w:p w:rsidR="008930B0" w:rsidRPr="008930B0" w:rsidRDefault="008930B0" w:rsidP="008930B0">
                  <w:pPr>
                    <w:pStyle w:val="ConsPlusNormal"/>
                    <w:ind w:firstLine="1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30B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Несчастный случай на производстве</w:t>
                  </w:r>
                  <w:r w:rsidRPr="00893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это событие, в результате которого работник погиб или получил повреждение здоровья при выполнении трудовых обязанностей или работ в интересах работодателя.</w:t>
                  </w:r>
                </w:p>
                <w:p w:rsidR="008930B0" w:rsidRPr="008930B0" w:rsidRDefault="008930B0" w:rsidP="008930B0">
                  <w:pPr>
                    <w:pStyle w:val="ConsPlusNormal"/>
                    <w:ind w:firstLine="142"/>
                    <w:jc w:val="both"/>
                    <w:rPr>
                      <w:rFonts w:ascii="Times New Roman" w:hAnsi="Times New Roman" w:cs="Times New Roman"/>
                      <w:bCs/>
                      <w:spacing w:val="4"/>
                      <w:sz w:val="18"/>
                      <w:szCs w:val="18"/>
                    </w:rPr>
                  </w:pPr>
                  <w:proofErr w:type="gramStart"/>
                  <w:r w:rsidRPr="008930B0">
                    <w:rPr>
                      <w:rFonts w:ascii="Times New Roman" w:hAnsi="Times New Roman" w:cs="Times New Roman"/>
                      <w:bCs/>
                      <w:spacing w:val="4"/>
                      <w:sz w:val="18"/>
                      <w:szCs w:val="18"/>
                    </w:rPr>
                    <w:t xml:space="preserve">Расследование несчастных случаев проводится на основании статей </w:t>
                  </w:r>
                  <w:r w:rsidRPr="008930B0">
                    <w:rPr>
                      <w:rFonts w:ascii="Times New Roman" w:hAnsi="Times New Roman" w:cs="Times New Roman"/>
                      <w:bCs/>
                      <w:spacing w:val="4"/>
                      <w:sz w:val="18"/>
                      <w:szCs w:val="18"/>
                    </w:rPr>
                    <w:br/>
                    <w:t>227 –231 Трудового кодекса РФ (далее – ТК РФ) и п</w:t>
                  </w:r>
                  <w:r w:rsidRPr="008930B0">
                    <w:rPr>
                      <w:rStyle w:val="visited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остановления </w:t>
                  </w:r>
                  <w:proofErr w:type="spellStart"/>
                  <w:r w:rsidRPr="008930B0">
                    <w:rPr>
                      <w:rStyle w:val="visited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Минтрудсоцразвития</w:t>
                  </w:r>
                  <w:proofErr w:type="spellEnd"/>
                  <w:r w:rsidRPr="008930B0">
                    <w:rPr>
                      <w:rStyle w:val="visited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РФ от 24 октября 2002 года № 73 "Об утверждении</w:t>
                  </w:r>
                  <w:r w:rsidRPr="008930B0">
                    <w:rPr>
                      <w:rStyle w:val="apple-converted-space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8930B0">
                    <w:rPr>
                      <w:rStyle w:val="visited"/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форм документов, необходимых для расследования и учета несчастных случаев на производстве</w:t>
                  </w:r>
                  <w:r w:rsidRPr="00893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и Положения об особенностях расследования несчастных случаев на производстве в отдельных отраслях и организациях".</w:t>
                  </w:r>
                  <w:proofErr w:type="gramEnd"/>
                </w:p>
                <w:p w:rsidR="008930B0" w:rsidRPr="008930B0" w:rsidRDefault="008930B0" w:rsidP="008930B0">
                  <w:pPr>
                    <w:ind w:firstLine="142"/>
                    <w:jc w:val="both"/>
                    <w:rPr>
                      <w:sz w:val="18"/>
                      <w:szCs w:val="18"/>
                    </w:rPr>
                  </w:pPr>
                  <w:r w:rsidRPr="008930B0">
                    <w:rPr>
                      <w:sz w:val="18"/>
                      <w:szCs w:val="18"/>
                    </w:rPr>
                    <w:t>В соответствии со статей 227 ТК РФ подлежат расследованию несчастные случаи, происшедшие не только с работниками, выполняющими работу по трудовому договору, но и с другими лицами, участвующими в производственной деятельности: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3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работники и другие лица, проходящие профессиональное обучение или переобучение в соответствии с ученическим договором;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3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студенты и учащиеся образовательных учреждений всех типов, проходящие производственную практику;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3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лица, страдающие психическими расстройствами, участвующие в производительном труде на лечебно-производственных предприятиях в соответствии с медицинскими рекомендациями;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3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лица, осужденные к лишению свободы и привлекаемые к труду;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3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лица, привлекаемые в установленном порядке к выполнению общественно-полезных работ;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142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930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      </w:r>
                </w:p>
                <w:p w:rsidR="008930B0" w:rsidRPr="008930B0" w:rsidRDefault="008930B0" w:rsidP="008930B0">
                  <w:pPr>
                    <w:ind w:firstLine="709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proofErr w:type="gramStart"/>
                  <w:r w:rsidRPr="008930B0">
                    <w:rPr>
                      <w:b/>
                      <w:sz w:val="18"/>
                      <w:szCs w:val="18"/>
                    </w:rPr>
                    <w:t>Расследованию в установленном порядке как несчастные случаи подлежат события,</w:t>
                  </w:r>
                  <w:r w:rsidRPr="008930B0">
                    <w:rPr>
                      <w:sz w:val="18"/>
                      <w:szCs w:val="18"/>
                    </w:rPr>
                    <w:t xml:space="preserve"> в результате которых пострадавшими были получены: телесные повреждения (травмы), в том числе нанесенные другим лицом; тепловой удар; ожог; обморожение; утопление; поражение электрическим током, молнией, излучением; укусы и другие телесные повреждения, </w:t>
                  </w:r>
                  <w:r w:rsidRPr="008930B0">
                    <w:rPr>
                      <w:sz w:val="16"/>
                      <w:szCs w:val="16"/>
                    </w:rPr>
                    <w:t>нанесенные животными и насекомыми; повреждения вследствие взрывов, аварий, разрушения зданий, стихийных бедствий и других чрезвычайных     обстоятельств,    нанесенные    животными и</w:t>
                  </w:r>
                  <w:proofErr w:type="gramEnd"/>
                </w:p>
                <w:p w:rsidR="00446062" w:rsidRPr="008930B0" w:rsidRDefault="00446062" w:rsidP="008930B0">
                  <w:pPr>
                    <w:ind w:firstLine="142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550.5pt;margin-top:5.85pt;width:236.25pt;height:518.25pt;z-index:251668480;mso-position-horizontal-relative:text;mso-position-vertical-relative:text" strokecolor="#8db3e2 [1311]" strokeweight="2.25pt">
            <v:textbox style="mso-next-textbox:#_x0000_s1034">
              <w:txbxContent>
                <w:p w:rsidR="008930B0" w:rsidRPr="008930B0" w:rsidRDefault="008930B0" w:rsidP="008930B0">
                  <w:pPr>
                    <w:pStyle w:val="ConsPlusNormal"/>
                    <w:tabs>
                      <w:tab w:val="left" w:pos="426"/>
                    </w:tabs>
                    <w:ind w:firstLine="28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. Немедленно проинформировать о несчастном случае органы и организации, указанные в ТК РФ,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пострадавшего.</w:t>
                  </w:r>
                </w:p>
                <w:p w:rsidR="008930B0" w:rsidRPr="008930B0" w:rsidRDefault="008930B0" w:rsidP="008930B0">
                  <w:pPr>
                    <w:pStyle w:val="ConsPlusNormal"/>
                    <w:tabs>
                      <w:tab w:val="left" w:pos="426"/>
                    </w:tabs>
                    <w:ind w:firstLine="28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 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            </w:r>
                </w:p>
                <w:p w:rsidR="008930B0" w:rsidRPr="008930B0" w:rsidRDefault="008930B0" w:rsidP="008930B0">
                  <w:pPr>
                    <w:pStyle w:val="ConsPlusNormal"/>
                    <w:tabs>
                      <w:tab w:val="left" w:pos="426"/>
                    </w:tabs>
                    <w:ind w:firstLine="284"/>
                    <w:jc w:val="both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8930B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Порядок извещения о несчастных случаях</w:t>
                  </w: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(ст. 228.1.</w:t>
                  </w:r>
                  <w:proofErr w:type="gramEnd"/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ТК РФ)</w:t>
                  </w:r>
                  <w:proofErr w:type="gramEnd"/>
                </w:p>
                <w:p w:rsidR="008930B0" w:rsidRPr="008930B0" w:rsidRDefault="008930B0" w:rsidP="008930B0">
                  <w:pPr>
                    <w:pStyle w:val="ConsPlusNormal"/>
                    <w:tabs>
                      <w:tab w:val="left" w:pos="426"/>
                    </w:tabs>
                    <w:ind w:firstLine="28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 групповом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направить извещение по установленной </w:t>
                  </w:r>
                  <w:hyperlink r:id="rId9" w:history="1">
                    <w:r w:rsidRPr="008930B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форме</w:t>
                    </w:r>
                  </w:hyperlink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прокуратуру по месту происшествия несчастного случая;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орган исполнительной власти субъекта Российской Федерации и (или)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работодателю, направившему работника, с которым произошел несчастный случай;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</w:t>
                  </w:r>
                  <w:proofErr w:type="gramStart"/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подконтрольных</w:t>
                  </w:r>
                  <w:proofErr w:type="gramEnd"/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этому органу;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426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работодателя в качестве страхователя);</w:t>
                  </w:r>
                </w:p>
                <w:p w:rsidR="008930B0" w:rsidRPr="008930B0" w:rsidRDefault="008930B0" w:rsidP="008930B0">
                  <w:pPr>
                    <w:pStyle w:val="ConsPlusNormal"/>
                    <w:numPr>
                      <w:ilvl w:val="0"/>
                      <w:numId w:val="6"/>
                    </w:numPr>
                    <w:tabs>
                      <w:tab w:val="clear" w:pos="397"/>
                      <w:tab w:val="left" w:pos="426"/>
                      <w:tab w:val="num" w:pos="681"/>
                      <w:tab w:val="num" w:pos="993"/>
                    </w:tabs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30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соответствующее территориальное объединение организаций профсоюзов.</w:t>
                  </w:r>
                </w:p>
                <w:p w:rsidR="005F5ABB" w:rsidRPr="008930B0" w:rsidRDefault="008930B0" w:rsidP="008930B0">
                  <w:pPr>
                    <w:tabs>
                      <w:tab w:val="left" w:pos="426"/>
                    </w:tabs>
                    <w:ind w:firstLine="284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8930B0">
                    <w:rPr>
                      <w:sz w:val="16"/>
                      <w:szCs w:val="16"/>
                    </w:rPr>
                    <w:t xml:space="preserve">О несчастных случаях, которые по прошествии времени перешли в категорию тяжелых несчастных случаев или несчастных случаев со смертельным исходом, работодатель в течение трех суток после получения сведений об этом направляет извещение по установленной </w:t>
                  </w:r>
                  <w:hyperlink r:id="rId10" w:history="1">
                    <w:r w:rsidRPr="008930B0">
                      <w:rPr>
                        <w:sz w:val="16"/>
                        <w:szCs w:val="16"/>
                      </w:rPr>
                      <w:t>форме</w:t>
                    </w:r>
                  </w:hyperlink>
                  <w:r w:rsidRPr="008930B0">
                    <w:rPr>
                      <w:sz w:val="16"/>
                      <w:szCs w:val="16"/>
                    </w:rPr>
                    <w:t xml:space="preserve"> в соответствующие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28.15pt;margin-top:9pt;width:843.85pt;height:41.45pt;z-index:251665408;mso-position-horizontal-relative:text;mso-position-vertical-relative:text" fillcolor="#8db3e2 [1311]" stroked="f"/>
        </w:pict>
      </w:r>
      <w:r w:rsidR="00CF5172" w:rsidRPr="00CF517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-405702</wp:posOffset>
            </wp:positionH>
            <wp:positionV relativeFrom="paragraph">
              <wp:posOffset>-360045</wp:posOffset>
            </wp:positionV>
            <wp:extent cx="10803624" cy="7642747"/>
            <wp:effectExtent l="19050" t="0" r="0" b="0"/>
            <wp:wrapNone/>
            <wp:docPr id="14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624" cy="7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F6B" w:rsidRPr="002C60C4" w:rsidSect="002C60C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F12"/>
    <w:multiLevelType w:val="hybridMultilevel"/>
    <w:tmpl w:val="89A85C6A"/>
    <w:lvl w:ilvl="0" w:tplc="AE7A1A48">
      <w:start w:val="1"/>
      <w:numFmt w:val="bullet"/>
      <w:lvlText w:val=""/>
      <w:lvlJc w:val="left"/>
      <w:pPr>
        <w:tabs>
          <w:tab w:val="num" w:pos="454"/>
        </w:tabs>
        <w:ind w:firstLine="284"/>
      </w:pPr>
      <w:rPr>
        <w:rFonts w:ascii="Symbol" w:hAnsi="Symbol" w:hint="default"/>
        <w:color w:val="auto"/>
      </w:rPr>
    </w:lvl>
    <w:lvl w:ilvl="1" w:tplc="7EE81BAA">
      <w:start w:val="1"/>
      <w:numFmt w:val="bullet"/>
      <w:lvlText w:val="-"/>
      <w:lvlJc w:val="left"/>
      <w:pPr>
        <w:tabs>
          <w:tab w:val="num" w:pos="312"/>
        </w:tabs>
        <w:ind w:firstLine="284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C7F1B"/>
    <w:multiLevelType w:val="hybridMultilevel"/>
    <w:tmpl w:val="4EC418C4"/>
    <w:lvl w:ilvl="0" w:tplc="AE7A1A48">
      <w:start w:val="1"/>
      <w:numFmt w:val="bullet"/>
      <w:lvlText w:val=""/>
      <w:lvlJc w:val="left"/>
      <w:pPr>
        <w:tabs>
          <w:tab w:val="num" w:pos="312"/>
        </w:tabs>
        <w:ind w:firstLine="284"/>
      </w:pPr>
      <w:rPr>
        <w:rFonts w:ascii="Symbol" w:hAnsi="Symbol" w:hint="default"/>
        <w:color w:val="auto"/>
      </w:rPr>
    </w:lvl>
    <w:lvl w:ilvl="1" w:tplc="F2F43BCC">
      <w:start w:val="1"/>
      <w:numFmt w:val="bullet"/>
      <w:lvlText w:val="-"/>
      <w:lvlJc w:val="left"/>
      <w:pPr>
        <w:tabs>
          <w:tab w:val="num" w:pos="91"/>
        </w:tabs>
        <w:ind w:left="-22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1F4418B4"/>
    <w:multiLevelType w:val="hybridMultilevel"/>
    <w:tmpl w:val="B5620F28"/>
    <w:lvl w:ilvl="0" w:tplc="8D940D5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0490A"/>
    <w:multiLevelType w:val="hybridMultilevel"/>
    <w:tmpl w:val="B10EF5FE"/>
    <w:lvl w:ilvl="0" w:tplc="63BED2D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25032"/>
    <w:multiLevelType w:val="hybridMultilevel"/>
    <w:tmpl w:val="C702229A"/>
    <w:lvl w:ilvl="0" w:tplc="0BBEE0A2">
      <w:start w:val="1"/>
      <w:numFmt w:val="bullet"/>
      <w:lvlText w:val=""/>
      <w:lvlJc w:val="left"/>
      <w:pPr>
        <w:tabs>
          <w:tab w:val="num" w:pos="28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917F60"/>
    <w:multiLevelType w:val="hybridMultilevel"/>
    <w:tmpl w:val="B57C0F34"/>
    <w:lvl w:ilvl="0" w:tplc="47CCD37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B31D7"/>
    <w:multiLevelType w:val="hybridMultilevel"/>
    <w:tmpl w:val="70224D50"/>
    <w:lvl w:ilvl="0" w:tplc="FF3C31A6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7064E3"/>
    <w:multiLevelType w:val="hybridMultilevel"/>
    <w:tmpl w:val="5D1C5B54"/>
    <w:lvl w:ilvl="0" w:tplc="6B10B4C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0C4"/>
    <w:rsid w:val="00005AEE"/>
    <w:rsid w:val="0007397B"/>
    <w:rsid w:val="00091EFE"/>
    <w:rsid w:val="00234C72"/>
    <w:rsid w:val="002C60C4"/>
    <w:rsid w:val="00320E80"/>
    <w:rsid w:val="003C1DEA"/>
    <w:rsid w:val="003C2D99"/>
    <w:rsid w:val="00417D67"/>
    <w:rsid w:val="00446062"/>
    <w:rsid w:val="00471ED5"/>
    <w:rsid w:val="00477C93"/>
    <w:rsid w:val="005251FA"/>
    <w:rsid w:val="005955E7"/>
    <w:rsid w:val="005B6B3F"/>
    <w:rsid w:val="005F5ABB"/>
    <w:rsid w:val="00671F6B"/>
    <w:rsid w:val="008930B0"/>
    <w:rsid w:val="008F7ABE"/>
    <w:rsid w:val="00921240"/>
    <w:rsid w:val="0095736D"/>
    <w:rsid w:val="009F587B"/>
    <w:rsid w:val="00A215F1"/>
    <w:rsid w:val="00AE74F4"/>
    <w:rsid w:val="00BA6FDE"/>
    <w:rsid w:val="00BE0837"/>
    <w:rsid w:val="00C03FBC"/>
    <w:rsid w:val="00C5789B"/>
    <w:rsid w:val="00C60948"/>
    <w:rsid w:val="00C675D8"/>
    <w:rsid w:val="00C83636"/>
    <w:rsid w:val="00CF5172"/>
    <w:rsid w:val="00D43F1C"/>
    <w:rsid w:val="00D97020"/>
    <w:rsid w:val="00DD0FEF"/>
    <w:rsid w:val="00E94693"/>
    <w:rsid w:val="00ED3C47"/>
    <w:rsid w:val="00FE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B"/>
  </w:style>
  <w:style w:type="paragraph" w:styleId="4">
    <w:name w:val="heading 4"/>
    <w:link w:val="40"/>
    <w:uiPriority w:val="9"/>
    <w:qFormat/>
    <w:rsid w:val="002C60C4"/>
    <w:pPr>
      <w:spacing w:after="0" w:line="240" w:lineRule="auto"/>
      <w:jc w:val="center"/>
      <w:outlineLvl w:val="3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C60C4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C60C4"/>
    <w:rPr>
      <w:color w:val="0000FF"/>
      <w:u w:val="single"/>
    </w:rPr>
  </w:style>
  <w:style w:type="paragraph" w:customStyle="1" w:styleId="ConsPlusTitle">
    <w:name w:val="ConsPlusTitle"/>
    <w:rsid w:val="002C60C4"/>
    <w:pPr>
      <w:spacing w:after="0" w:line="273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6062"/>
    <w:pPr>
      <w:spacing w:after="0" w:line="273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60948"/>
    <w:pPr>
      <w:spacing w:after="0" w:line="240" w:lineRule="auto"/>
      <w:jc w:val="center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rsid w:val="00C60948"/>
    <w:rPr>
      <w:rFonts w:eastAsia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C6094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60948"/>
    <w:rPr>
      <w:rFonts w:eastAsia="Times New Roman" w:cs="Times New Roman"/>
      <w:sz w:val="24"/>
      <w:szCs w:val="24"/>
      <w:lang w:eastAsia="ru-RU"/>
    </w:rPr>
  </w:style>
  <w:style w:type="paragraph" w:customStyle="1" w:styleId="msoaddress">
    <w:name w:val="msoaddress"/>
    <w:rsid w:val="00C60948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7"/>
      <w:szCs w:val="17"/>
      <w:lang w:eastAsia="ru-RU"/>
    </w:rPr>
  </w:style>
  <w:style w:type="character" w:customStyle="1" w:styleId="visited">
    <w:name w:val="visited"/>
    <w:rsid w:val="008930B0"/>
  </w:style>
  <w:style w:type="character" w:customStyle="1" w:styleId="apple-converted-space">
    <w:name w:val="apple-converted-space"/>
    <w:rsid w:val="00893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34BE17A4430AC11D4829E1EDDB2DA7445E917AAF5F8E07E4F44C28CD9B4655CABD1D4397989BD0B3q5F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34BE17A4430AC11D4829E1EDDB2DA746539E7FAC53D30DECAD402ACA941942CDF4114297989ABDq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82169C493A8A7FB75089FF81180D8E22EC38984F53D187CF8A3972F793B68CDCF524AEA88583C4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CE825-DD26-4763-94A5-5506B92B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Photographer</dc:creator>
  <cp:lastModifiedBy>Photographer</cp:lastModifiedBy>
  <cp:revision>2</cp:revision>
  <dcterms:created xsi:type="dcterms:W3CDTF">2013-12-11T03:57:00Z</dcterms:created>
  <dcterms:modified xsi:type="dcterms:W3CDTF">2013-12-11T03:57:00Z</dcterms:modified>
</cp:coreProperties>
</file>